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</w:rPr>
        <w:t>2021年全国专线类业务长流程优化指导意见</w:t>
      </w:r>
    </w:p>
    <w:p>
      <w:pPr>
        <w:spacing w:after="312" w:afterLines="100"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专线</w:t>
      </w: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一次上门</w:t>
      </w:r>
      <w:r>
        <w:rPr>
          <w:rFonts w:hint="eastAsia" w:ascii="仿宋_GB2312" w:hAnsi="仿宋_GB2312" w:eastAsia="仿宋_GB2312" w:cs="仿宋_GB2312"/>
          <w:b/>
          <w:sz w:val="32"/>
        </w:rPr>
        <w:t>-</w:t>
      </w: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河南</w:t>
      </w:r>
      <w:r>
        <w:rPr>
          <w:rFonts w:hint="eastAsia" w:ascii="仿宋_GB2312" w:hAnsi="仿宋_GB2312" w:eastAsia="仿宋_GB2312" w:cs="仿宋_GB2312"/>
          <w:b/>
          <w:sz w:val="32"/>
        </w:rPr>
        <w:t>案例</w:t>
      </w:r>
    </w:p>
    <w:bookmarkEnd w:id="0"/>
    <w:p>
      <w:pPr>
        <w:numPr>
          <w:ilvl w:val="0"/>
          <w:numId w:val="1"/>
        </w:numPr>
        <w:spacing w:line="360" w:lineRule="auto"/>
        <w:outlineLvl w:val="0"/>
        <w:rPr>
          <w:rFonts w:ascii="仿宋_GB2312" w:eastAsia="仿宋_GB2312" w:hAnsiTheme="majorEastAsia" w:cstheme="majorBidi"/>
          <w:b/>
          <w:bCs/>
          <w:sz w:val="32"/>
          <w:szCs w:val="32"/>
        </w:rPr>
      </w:pPr>
      <w:r>
        <w:rPr>
          <w:rFonts w:hint="eastAsia" w:ascii="仿宋_GB2312" w:eastAsia="仿宋_GB2312" w:hAnsiTheme="majorEastAsia" w:cstheme="majorBidi"/>
          <w:b/>
          <w:bCs/>
          <w:sz w:val="32"/>
          <w:szCs w:val="32"/>
        </w:rPr>
        <w:t>专线一次上门（四个一）（河南）</w:t>
      </w:r>
    </w:p>
    <w:p>
      <w:pPr>
        <w:snapToGrid w:val="0"/>
        <w:spacing w:line="360" w:lineRule="auto"/>
        <w:outlineLvl w:val="1"/>
        <w:rPr>
          <w:rFonts w:ascii="仿宋_GB2312" w:eastAsia="仿宋_GB2312" w:hAnsiTheme="majorEastAsia" w:cstheme="majorBidi"/>
          <w:b/>
          <w:bCs/>
          <w:sz w:val="28"/>
          <w:szCs w:val="28"/>
        </w:rPr>
      </w:pPr>
      <w:r>
        <w:rPr>
          <w:rFonts w:hint="eastAsia" w:ascii="仿宋_GB2312" w:eastAsia="仿宋_GB2312" w:hAnsiTheme="majorEastAsia" w:cstheme="majorBidi"/>
          <w:b/>
          <w:bCs/>
          <w:sz w:val="28"/>
          <w:szCs w:val="28"/>
        </w:rPr>
        <w:t>1、专线一次上门（四个一）的功能介绍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业务系统根据用户不同类型的业务和产品需求，将多业务多产品灵活组合，并标识关联性，以承载专线+产品的融合模式派发至网络侧系统，由二级业务编排系统统一受理前端业务系统的工单，并派发至代维管理系统，代维管理系统根据工单的关联性、应用场景等按照一定的业务规则生成施工单，实现施工统一调度、一次上门。</w:t>
      </w:r>
    </w:p>
    <w:p>
      <w:pPr>
        <w:snapToGrid w:val="0"/>
        <w:spacing w:line="360" w:lineRule="auto"/>
        <w:outlineLvl w:val="1"/>
        <w:rPr>
          <w:rFonts w:ascii="仿宋_GB2312" w:eastAsia="仿宋_GB2312" w:hAnsiTheme="majorEastAsia" w:cstheme="majorBidi"/>
          <w:b/>
          <w:bCs/>
          <w:sz w:val="28"/>
          <w:szCs w:val="28"/>
        </w:rPr>
      </w:pPr>
      <w:r>
        <w:rPr>
          <w:rFonts w:hint="eastAsia" w:ascii="仿宋_GB2312" w:eastAsia="仿宋_GB2312" w:hAnsiTheme="majorEastAsia" w:cstheme="majorBidi"/>
          <w:b/>
          <w:bCs/>
          <w:sz w:val="28"/>
          <w:szCs w:val="28"/>
        </w:rPr>
        <w:t>2、专线一次上门（四个一）的优化内容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（1）主要优化思路：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将融合工单主键作为一组融合产品的唯一标识，同一组产品的主键相同，并将是否为融合产品、关联工单数量、关联工单号等主要信息从业务系统传至二级业务编排系统，二级业务编排系统将主要信息以及每张工单的需求信息、客户安装地址、业务保障级别信息等传输至代维管理系统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代维管理系统根据安装地址的不同进行拆单，相同安装地址的工单生成一张施工任务单，派发给施工人员。施工人员收到任务单后与客户进行预约并上门施工。施工完成后，按施工单分别回单至二级业务编排系统，即做完一个业务回复一张工单，不受其他工单回复的影响。</w:t>
      </w:r>
    </w:p>
    <w:p>
      <w:pPr>
        <w:snapToGrid w:val="0"/>
        <w:spacing w:line="360" w:lineRule="auto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a.工单接收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代维管理系统</w:t>
      </w:r>
      <w:r>
        <w:rPr>
          <w:rFonts w:ascii="仿宋_GB2312" w:eastAsia="仿宋_GB2312" w:cs="Times New Roman" w:hAnsiTheme="majorEastAsia"/>
          <w:sz w:val="28"/>
          <w:szCs w:val="28"/>
        </w:rPr>
        <w:t>接收来自</w:t>
      </w:r>
      <w:r>
        <w:rPr>
          <w:rFonts w:hint="eastAsia" w:ascii="仿宋_GB2312" w:eastAsia="仿宋_GB2312" w:cs="Times New Roman" w:hAnsiTheme="majorEastAsia"/>
          <w:sz w:val="28"/>
          <w:szCs w:val="28"/>
        </w:rPr>
        <w:t>二级</w:t>
      </w:r>
      <w:r>
        <w:rPr>
          <w:rFonts w:ascii="仿宋_GB2312" w:eastAsia="仿宋_GB2312" w:cs="Times New Roman" w:hAnsiTheme="majorEastAsia"/>
          <w:sz w:val="28"/>
          <w:szCs w:val="28"/>
        </w:rPr>
        <w:t>业务编排系统派发的互联网专线、云视讯、千里眼</w:t>
      </w:r>
      <w:r>
        <w:rPr>
          <w:rFonts w:hint="eastAsia" w:ascii="仿宋_GB2312" w:eastAsia="仿宋_GB2312" w:cs="Times New Roman" w:hAnsiTheme="majorEastAsia"/>
          <w:sz w:val="28"/>
          <w:szCs w:val="28"/>
        </w:rPr>
        <w:t>等</w:t>
      </w:r>
      <w:r>
        <w:rPr>
          <w:rFonts w:ascii="仿宋_GB2312" w:eastAsia="仿宋_GB2312" w:cs="Times New Roman" w:hAnsiTheme="majorEastAsia"/>
          <w:sz w:val="28"/>
          <w:szCs w:val="28"/>
        </w:rPr>
        <w:t>资源勘查单和业务开通单</w:t>
      </w:r>
      <w:r>
        <w:rPr>
          <w:rFonts w:hint="eastAsia" w:ascii="仿宋_GB2312" w:eastAsia="仿宋_GB2312" w:cs="Times New Roman" w:hAnsiTheme="majorEastAsia"/>
          <w:sz w:val="28"/>
          <w:szCs w:val="28"/>
        </w:rPr>
        <w:t>。</w:t>
      </w:r>
    </w:p>
    <w:p>
      <w:pPr>
        <w:snapToGrid w:val="0"/>
        <w:spacing w:line="360" w:lineRule="auto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b.</w:t>
      </w:r>
      <w:r>
        <w:rPr>
          <w:rFonts w:ascii="仿宋_GB2312" w:eastAsia="仿宋_GB2312" w:cs="Times New Roman" w:hAnsiTheme="majorEastAsia"/>
          <w:sz w:val="28"/>
          <w:szCs w:val="28"/>
        </w:rPr>
        <w:t>工单融合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ascii="仿宋_GB2312" w:eastAsia="仿宋_GB2312" w:cs="Times New Roman" w:hAnsiTheme="majorEastAsia"/>
          <w:sz w:val="28"/>
          <w:szCs w:val="28"/>
        </w:rPr>
        <w:t>根据【是否有关联工单】，判断该工单是否需要融合：是则需要融合；否则不需要融合</w:t>
      </w:r>
      <w:r>
        <w:rPr>
          <w:rFonts w:hint="eastAsia" w:ascii="仿宋_GB2312" w:eastAsia="仿宋_GB2312" w:cs="Times New Roman" w:hAnsiTheme="majorEastAsia"/>
          <w:sz w:val="28"/>
          <w:szCs w:val="28"/>
        </w:rPr>
        <w:t>；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ascii="仿宋_GB2312" w:eastAsia="仿宋_GB2312" w:cs="Times New Roman" w:hAnsiTheme="majorEastAsia"/>
          <w:sz w:val="28"/>
          <w:szCs w:val="28"/>
        </w:rPr>
        <w:t>根据【关联工单数量】，判断需要等待几张工单进行融合</w:t>
      </w:r>
      <w:r>
        <w:rPr>
          <w:rFonts w:hint="eastAsia" w:ascii="仿宋_GB2312" w:eastAsia="仿宋_GB2312" w:cs="Times New Roman" w:hAnsiTheme="majorEastAsia"/>
          <w:sz w:val="28"/>
          <w:szCs w:val="28"/>
        </w:rPr>
        <w:t>；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ascii="仿宋_GB2312" w:eastAsia="仿宋_GB2312" w:cs="Times New Roman" w:hAnsiTheme="majorEastAsia"/>
          <w:sz w:val="28"/>
          <w:szCs w:val="28"/>
        </w:rPr>
        <w:t>【融合工单主键】为融合后的工单的主键，即融合后的子工单均有相同的主键</w:t>
      </w:r>
    </w:p>
    <w:p>
      <w:pPr>
        <w:snapToGrid w:val="0"/>
        <w:spacing w:line="360" w:lineRule="auto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c.</w:t>
      </w:r>
      <w:r>
        <w:rPr>
          <w:rFonts w:ascii="仿宋_GB2312" w:eastAsia="仿宋_GB2312" w:cs="Times New Roman" w:hAnsiTheme="majorEastAsia"/>
          <w:sz w:val="28"/>
          <w:szCs w:val="28"/>
        </w:rPr>
        <w:t>任务</w:t>
      </w:r>
      <w:r>
        <w:rPr>
          <w:rFonts w:hint="eastAsia" w:ascii="仿宋_GB2312" w:eastAsia="仿宋_GB2312" w:cs="Times New Roman" w:hAnsiTheme="majorEastAsia"/>
          <w:sz w:val="28"/>
          <w:szCs w:val="28"/>
        </w:rPr>
        <w:t>单</w:t>
      </w:r>
      <w:r>
        <w:rPr>
          <w:rFonts w:ascii="仿宋_GB2312" w:eastAsia="仿宋_GB2312" w:cs="Times New Roman" w:hAnsiTheme="majorEastAsia"/>
          <w:sz w:val="28"/>
          <w:szCs w:val="28"/>
        </w:rPr>
        <w:t>拆分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ascii="仿宋_GB2312" w:eastAsia="仿宋_GB2312" w:cs="Times New Roman" w:hAnsiTheme="majorEastAsia"/>
          <w:sz w:val="28"/>
          <w:szCs w:val="28"/>
        </w:rPr>
        <w:t>同一张融合工单根据安装地址的不同进行拆分，相同的安装地址为一张任务单，不同的地址进行拆分</w:t>
      </w:r>
      <w:r>
        <w:rPr>
          <w:rFonts w:hint="eastAsia" w:ascii="仿宋_GB2312" w:eastAsia="仿宋_GB2312" w:cs="Times New Roman" w:hAnsiTheme="majorEastAsia"/>
          <w:sz w:val="28"/>
          <w:szCs w:val="28"/>
        </w:rPr>
        <w:t>；</w:t>
      </w:r>
    </w:p>
    <w:p>
      <w:pPr>
        <w:snapToGrid w:val="0"/>
        <w:spacing w:line="360" w:lineRule="auto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d.</w:t>
      </w:r>
      <w:r>
        <w:rPr>
          <w:rFonts w:ascii="仿宋_GB2312" w:eastAsia="仿宋_GB2312" w:cs="Times New Roman" w:hAnsiTheme="majorEastAsia"/>
          <w:sz w:val="28"/>
          <w:szCs w:val="28"/>
        </w:rPr>
        <w:t>任务单接单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ascii="仿宋_GB2312" w:eastAsia="仿宋_GB2312" w:cs="Times New Roman" w:hAnsiTheme="majorEastAsia"/>
          <w:sz w:val="28"/>
          <w:szCs w:val="28"/>
        </w:rPr>
        <w:t>接单人：每个区县有且仅有一个集客施工班组，根据【安装地址所在区县】将该区县的任务单派发到本区县集客施工班组下，班组内每个人都可以进行接单，遵循谁接单谁处理</w:t>
      </w:r>
      <w:r>
        <w:rPr>
          <w:rFonts w:hint="eastAsia" w:ascii="仿宋_GB2312" w:eastAsia="仿宋_GB2312" w:cs="Times New Roman" w:hAnsiTheme="majorEastAsia"/>
          <w:sz w:val="28"/>
          <w:szCs w:val="28"/>
        </w:rPr>
        <w:t>谁负责谁回单</w:t>
      </w:r>
      <w:r>
        <w:rPr>
          <w:rFonts w:ascii="仿宋_GB2312" w:eastAsia="仿宋_GB2312" w:cs="Times New Roman" w:hAnsiTheme="majorEastAsia"/>
          <w:sz w:val="28"/>
          <w:szCs w:val="28"/>
        </w:rPr>
        <w:t>的原则。</w:t>
      </w:r>
    </w:p>
    <w:p>
      <w:pPr>
        <w:snapToGrid w:val="0"/>
        <w:spacing w:line="360" w:lineRule="auto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e.</w:t>
      </w:r>
      <w:r>
        <w:rPr>
          <w:rFonts w:ascii="仿宋_GB2312" w:eastAsia="仿宋_GB2312" w:cs="Times New Roman" w:hAnsiTheme="majorEastAsia"/>
          <w:sz w:val="28"/>
          <w:szCs w:val="28"/>
        </w:rPr>
        <w:t>任务单处理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ascii="仿宋_GB2312" w:eastAsia="仿宋_GB2312" w:cs="Times New Roman" w:hAnsiTheme="majorEastAsia"/>
          <w:sz w:val="28"/>
          <w:szCs w:val="28"/>
        </w:rPr>
        <w:t>接单人接单后，直接对任务单进行回单处理，</w:t>
      </w:r>
      <w:r>
        <w:rPr>
          <w:rFonts w:hint="eastAsia" w:ascii="仿宋_GB2312" w:eastAsia="仿宋_GB2312" w:cs="Times New Roman" w:hAnsiTheme="majorEastAsia"/>
          <w:sz w:val="28"/>
          <w:szCs w:val="28"/>
        </w:rPr>
        <w:t>将业务施工相关字段在代维管理APP系统上反馈后，系统回传给</w:t>
      </w:r>
      <w:r>
        <w:rPr>
          <w:rFonts w:ascii="仿宋_GB2312" w:eastAsia="仿宋_GB2312" w:cs="Times New Roman" w:hAnsiTheme="majorEastAsia"/>
          <w:sz w:val="28"/>
          <w:szCs w:val="28"/>
        </w:rPr>
        <w:t>给【</w:t>
      </w:r>
      <w:r>
        <w:rPr>
          <w:rFonts w:hint="eastAsia" w:ascii="仿宋_GB2312" w:eastAsia="仿宋_GB2312" w:cs="Times New Roman" w:hAnsiTheme="majorEastAsia"/>
          <w:sz w:val="28"/>
          <w:szCs w:val="28"/>
        </w:rPr>
        <w:t>二级</w:t>
      </w:r>
      <w:r>
        <w:rPr>
          <w:rFonts w:ascii="仿宋_GB2312" w:eastAsia="仿宋_GB2312" w:cs="Times New Roman" w:hAnsiTheme="majorEastAsia"/>
          <w:sz w:val="28"/>
          <w:szCs w:val="28"/>
        </w:rPr>
        <w:t>业务编排系统】即可。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（2）各系统的优化内容：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ESOP业务系统：增加对融合产品的主键、是否为融合产品、关联工单数量、关联工单号等字段标识融合产品业务；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二级业务编排系统：增加融合产品主键、是否为融合产品、关联工单数量、关联工单号等融合信息，同时增加对融合产品中各工单信息显示，包含当前环节、当前处理人、状态等信息；</w:t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融合工单关联呈现：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ascii="仿宋_GB2312" w:eastAsia="仿宋_GB2312" w:cs="Times New Roman" w:hAnsiTheme="majorEastAsia"/>
          <w:sz w:val="28"/>
          <w:szCs w:val="28"/>
        </w:rPr>
        <w:drawing>
          <wp:inline distT="0" distB="0" distL="0" distR="0">
            <wp:extent cx="5274310" cy="2964815"/>
            <wp:effectExtent l="19050" t="19050" r="21590" b="260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4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融合工单查询：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ascii="仿宋_GB2312" w:eastAsia="仿宋_GB2312" w:cs="Times New Roman" w:hAnsiTheme="majorEastAsia"/>
          <w:sz w:val="28"/>
          <w:szCs w:val="28"/>
        </w:rPr>
        <w:drawing>
          <wp:inline distT="0" distB="0" distL="0" distR="0">
            <wp:extent cx="5274310" cy="2526665"/>
            <wp:effectExtent l="19050" t="19050" r="21590" b="260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派发代维：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ascii="仿宋_GB2312" w:eastAsia="仿宋_GB2312" w:cs="Times New Roman" w:hAnsiTheme="majorEastAsia"/>
          <w:sz w:val="28"/>
          <w:szCs w:val="28"/>
        </w:rPr>
        <w:drawing>
          <wp:inline distT="0" distB="0" distL="0" distR="0">
            <wp:extent cx="5316855" cy="1231900"/>
            <wp:effectExtent l="19050" t="19050" r="17145" b="2540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929" cy="123512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代维回复：</w:t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 w:cs="Times New Roman" w:hAnsiTheme="majorEastAsia"/>
          <w:sz w:val="28"/>
          <w:szCs w:val="28"/>
        </w:rPr>
      </w:pPr>
      <w:r>
        <w:rPr>
          <w:rFonts w:ascii="仿宋_GB2312" w:eastAsia="仿宋_GB2312" w:cs="Times New Roman" w:hAnsiTheme="majorEastAsia"/>
          <w:sz w:val="28"/>
          <w:szCs w:val="28"/>
        </w:rPr>
        <w:drawing>
          <wp:inline distT="0" distB="0" distL="0" distR="0">
            <wp:extent cx="5274310" cy="1165860"/>
            <wp:effectExtent l="19050" t="19050" r="2159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5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代维管理系统：支持APP端操作，接收二级业务编排系统的业务勘查单、开通单等，同时配置相应的业务规则，完成任务拆分、合单回单等功能。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以互联网专线开通为例，相应流程如下：</w:t>
      </w:r>
    </w:p>
    <w:p>
      <w:pPr>
        <w:snapToGrid w:val="0"/>
        <w:spacing w:line="360" w:lineRule="auto"/>
        <w:ind w:firstLine="42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drawing>
          <wp:inline distT="0" distB="0" distL="0" distR="0">
            <wp:extent cx="5274310" cy="3106420"/>
            <wp:effectExtent l="0" t="0" r="2540" b="17780"/>
            <wp:docPr id="5" name="图片 5" descr="C:\Users\lenovo\AppData\Local\Temp\WeChat Files\b96c8ddf8bac5d3d435bbe9af9b64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AppData\Local\Temp\WeChat Files\b96c8ddf8bac5d3d435bbe9af9b64c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rPr>
          <w:rFonts w:ascii="仿宋_GB2312" w:eastAsia="仿宋_GB2312" w:hAnsiTheme="majorEastAsia" w:cstheme="majorBidi"/>
          <w:sz w:val="28"/>
          <w:szCs w:val="28"/>
        </w:rPr>
      </w:pPr>
      <w:r>
        <w:rPr>
          <w:rFonts w:hint="eastAsia" w:ascii="仿宋_GB2312" w:eastAsia="仿宋_GB2312" w:hAnsiTheme="majorEastAsia" w:cstheme="majorBidi"/>
          <w:sz w:val="28"/>
          <w:szCs w:val="28"/>
        </w:rPr>
        <w:t>（3）专线一次上门（四个一）需具备的能力条件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hAnsiTheme="majorEastAsia" w:cstheme="majorBidi"/>
          <w:sz w:val="28"/>
          <w:szCs w:val="28"/>
        </w:rPr>
      </w:pPr>
      <w:r>
        <w:rPr>
          <w:rFonts w:hint="eastAsia" w:ascii="仿宋_GB2312" w:eastAsia="仿宋_GB2312" w:hAnsiTheme="majorEastAsia" w:cstheme="majorBidi"/>
          <w:sz w:val="28"/>
          <w:szCs w:val="28"/>
        </w:rPr>
        <w:t>一次上门主要为施工人员对同一安装地址的业务产品，合并为一个团队上门施工，接口人要提前与客户做好预约沟通工作，避免多次打扰客户。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仿宋_GB2312" w:eastAsia="仿宋_GB2312" w:hAnsiTheme="majorEastAsia" w:cstheme="majorBidi"/>
          <w:sz w:val="28"/>
          <w:szCs w:val="28"/>
        </w:rPr>
      </w:pPr>
      <w:r>
        <w:rPr>
          <w:rFonts w:hint="eastAsia" w:ascii="仿宋_GB2312" w:eastAsia="仿宋_GB2312" w:hAnsiTheme="majorEastAsia" w:cstheme="majorBidi"/>
          <w:sz w:val="28"/>
          <w:szCs w:val="28"/>
        </w:rPr>
        <w:t>管理方面：对装维施工人员做好要求，施工时需严格按照《中国移动政企客户专线类业务网络现场服务支撑工作规范》作业外，对融合产品，以线路承载的接单人为第一接口人，涉及的其他业务产品施工人员服从第一接口人调度指挥，按照同一时间实现上门安装。如企宽+千里眼的融合产品，则第一接口人为企宽的接单人，该接口人负责与客户预约，并联系千里眼的接单人一起上门安装。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仿宋_GB2312" w:eastAsia="仿宋_GB2312" w:hAnsiTheme="majorEastAsia" w:cstheme="majorBidi"/>
          <w:sz w:val="28"/>
          <w:szCs w:val="28"/>
        </w:rPr>
      </w:pPr>
      <w:r>
        <w:rPr>
          <w:rFonts w:hint="eastAsia" w:ascii="仿宋_GB2312" w:eastAsia="仿宋_GB2312" w:hAnsiTheme="majorEastAsia" w:cstheme="majorBidi"/>
          <w:sz w:val="28"/>
          <w:szCs w:val="28"/>
        </w:rPr>
        <w:t>支撑手段方面：同一融合产品组内，各施工单的接单人姓名、联系电话、工单状态等信息透明化展示，并支持信息同步，以及工单链接查询详情。方便第一接口人联系其他业务产品的接单人，组成施工团队上门安装。</w:t>
      </w:r>
    </w:p>
    <w:p>
      <w:pPr>
        <w:snapToGrid w:val="0"/>
        <w:spacing w:line="360" w:lineRule="auto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（4）相关截图及展示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ascii="仿宋_GB2312" w:eastAsia="仿宋_GB2312" w:cs="Times New Roman" w:hAnsiTheme="majorEastAsia"/>
          <w:sz w:val="28"/>
          <w:szCs w:val="28"/>
        </w:rPr>
        <w:t>融合工单信息综合展示，业务类型、工单号、安装地址、当前环节、工单状态等展示及详情点击。</w:t>
      </w:r>
    </w:p>
    <w:p>
      <w:pPr>
        <w:snapToGrid w:val="0"/>
        <w:spacing w:line="360" w:lineRule="auto"/>
        <w:ind w:left="560"/>
        <w:rPr>
          <w:rFonts w:ascii="仿宋_GB2312" w:eastAsia="仿宋_GB2312" w:hAnsiTheme="majorEastAsia" w:cstheme="majorBidi"/>
          <w:b/>
          <w:bCs/>
          <w:sz w:val="28"/>
          <w:szCs w:val="28"/>
        </w:rPr>
      </w:pPr>
      <w:r>
        <w:rPr>
          <w:rFonts w:hint="eastAsia" w:ascii="仿宋_GB2312" w:eastAsia="仿宋_GB2312" w:hAnsiTheme="majorEastAsia" w:cstheme="majorBidi"/>
          <w:b/>
          <w:bCs/>
          <w:sz w:val="28"/>
          <w:szCs w:val="28"/>
        </w:rPr>
        <w:drawing>
          <wp:inline distT="0" distB="0" distL="114300" distR="114300">
            <wp:extent cx="4980940" cy="2679065"/>
            <wp:effectExtent l="0" t="0" r="10160" b="635"/>
            <wp:docPr id="1" name="图片 1" descr="5bae2ddf6c5667cdf35be09dbe1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ae2ddf6c5667cdf35be09dbe159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left="560"/>
        <w:rPr>
          <w:rFonts w:ascii="仿宋_GB2312" w:eastAsia="仿宋_GB2312" w:hAnsiTheme="majorEastAsia" w:cstheme="majorBidi"/>
          <w:b/>
          <w:bCs/>
          <w:sz w:val="28"/>
          <w:szCs w:val="28"/>
        </w:rPr>
      </w:pPr>
      <w:r>
        <w:rPr>
          <w:vanish/>
        </w:rPr>
        <w:t>针对ESOP侧发起的停机工单，务必立即执行业务关停；注销工单，必须严格执行业务注销、设备回收处理。省政企部针对重要客户，具备‘后付费’‘红名单’等机制，请网络部同事知晓，不可有任何理由不执行停机，注销。</w:t>
      </w:r>
      <w:r>
        <w:rPr>
          <w:rFonts w:ascii="Helvetica" w:hAnsi="Helvetica"/>
        </w:rPr>
        <w:drawing>
          <wp:inline distT="0" distB="0" distL="0" distR="0">
            <wp:extent cx="5020945" cy="2442845"/>
            <wp:effectExtent l="0" t="0" r="825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5107F2"/>
    <w:multiLevelType w:val="singleLevel"/>
    <w:tmpl w:val="B25107F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9CFA490"/>
    <w:multiLevelType w:val="singleLevel"/>
    <w:tmpl w:val="F9CFA4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7C48B0"/>
    <w:multiLevelType w:val="singleLevel"/>
    <w:tmpl w:val="3F7C48B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2121"/>
    <w:rsid w:val="00132F98"/>
    <w:rsid w:val="00166683"/>
    <w:rsid w:val="00284C40"/>
    <w:rsid w:val="002854B1"/>
    <w:rsid w:val="002B2102"/>
    <w:rsid w:val="00346CF4"/>
    <w:rsid w:val="00367494"/>
    <w:rsid w:val="004C3D59"/>
    <w:rsid w:val="004E0CCD"/>
    <w:rsid w:val="0050353E"/>
    <w:rsid w:val="00666987"/>
    <w:rsid w:val="00670DD1"/>
    <w:rsid w:val="007C440F"/>
    <w:rsid w:val="00811659"/>
    <w:rsid w:val="008252C2"/>
    <w:rsid w:val="008C47BA"/>
    <w:rsid w:val="00A8628D"/>
    <w:rsid w:val="00AD1A47"/>
    <w:rsid w:val="00BF54BE"/>
    <w:rsid w:val="00CD10CB"/>
    <w:rsid w:val="00DE0D70"/>
    <w:rsid w:val="00EB441F"/>
    <w:rsid w:val="00F10360"/>
    <w:rsid w:val="00FD5D27"/>
    <w:rsid w:val="0A1A6496"/>
    <w:rsid w:val="0E420698"/>
    <w:rsid w:val="14CF6B49"/>
    <w:rsid w:val="1CF35CBE"/>
    <w:rsid w:val="23454C54"/>
    <w:rsid w:val="27E84E5C"/>
    <w:rsid w:val="29424F47"/>
    <w:rsid w:val="2A033E75"/>
    <w:rsid w:val="2D2613F6"/>
    <w:rsid w:val="2F4F3E66"/>
    <w:rsid w:val="313C3728"/>
    <w:rsid w:val="371B376E"/>
    <w:rsid w:val="3A451C02"/>
    <w:rsid w:val="3C263A18"/>
    <w:rsid w:val="45846DE5"/>
    <w:rsid w:val="4AE02EAB"/>
    <w:rsid w:val="4EA52121"/>
    <w:rsid w:val="50EB588A"/>
    <w:rsid w:val="52004837"/>
    <w:rsid w:val="569A19BB"/>
    <w:rsid w:val="59680A0D"/>
    <w:rsid w:val="599B03DC"/>
    <w:rsid w:val="5C5D68AF"/>
    <w:rsid w:val="5C61286A"/>
    <w:rsid w:val="68A47939"/>
    <w:rsid w:val="6B936263"/>
    <w:rsid w:val="72556A6C"/>
    <w:rsid w:val="75B93251"/>
    <w:rsid w:val="7AD3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</Words>
  <Characters>1479</Characters>
  <Lines>12</Lines>
  <Paragraphs>3</Paragraphs>
  <TotalTime>1</TotalTime>
  <ScaleCrop>false</ScaleCrop>
  <LinksUpToDate>false</LinksUpToDate>
  <CharactersWithSpaces>1735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2021-09-09T08:22:00Z</dcterms:created>
  <dc:creator>Zoro</dc:creator>
  <cp:lastModifiedBy>小倪</cp:lastModifiedBy>
  <dcterms:modified xsi:type="dcterms:W3CDTF">2021-11-19T06:45:34Z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0225335EDEAE4664924EB4ED9CD55914</vt:lpwstr>
  </property>
</Properties>
</file>