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49BDF">
      <w:pPr>
        <w:spacing w:line="560" w:lineRule="exact"/>
        <w:jc w:val="center"/>
        <w:rPr>
          <w:rFonts w:ascii="华文中宋" w:hAnsi="华文中宋" w:eastAsia="华文中宋"/>
          <w:b/>
          <w:sz w:val="44"/>
          <w:szCs w:val="44"/>
        </w:rPr>
      </w:pPr>
      <w:bookmarkStart w:id="0" w:name="_GoBack"/>
      <w:bookmarkEnd w:id="0"/>
      <w:r>
        <w:rPr>
          <w:rFonts w:hint="eastAsia" w:ascii="华文中宋" w:hAnsi="华文中宋" w:eastAsia="华文中宋"/>
          <w:b/>
          <w:sz w:val="44"/>
          <w:szCs w:val="44"/>
        </w:rPr>
        <w:t>分行业拓展情况</w:t>
      </w:r>
    </w:p>
    <w:p w14:paraId="70980745">
      <w:pPr>
        <w:ind w:firstLine="643" w:firstLineChars="200"/>
        <w:rPr>
          <w:rFonts w:hint="eastAsia" w:cs="黑体" w:asciiTheme="minorEastAsia" w:hAnsiTheme="minorEastAsia"/>
          <w:bCs/>
          <w:szCs w:val="21"/>
          <w:lang w:bidi="ar"/>
        </w:rPr>
      </w:pPr>
      <w:r>
        <w:rPr>
          <w:rFonts w:hint="eastAsia" w:ascii="黑体" w:hAnsi="宋体" w:eastAsia="黑体" w:cs="黑体"/>
          <w:b/>
          <w:bCs/>
          <w:sz w:val="32"/>
          <w:szCs w:val="32"/>
          <w:lang w:bidi="ar"/>
        </w:rPr>
        <w:t>一、分省分行业收入完成情况</w:t>
      </w:r>
    </w:p>
    <w:tbl>
      <w:tblPr>
        <w:tblStyle w:val="5"/>
        <w:tblW w:w="14974"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895"/>
        <w:gridCol w:w="882"/>
        <w:gridCol w:w="763"/>
        <w:gridCol w:w="829"/>
        <w:gridCol w:w="803"/>
        <w:gridCol w:w="802"/>
        <w:gridCol w:w="711"/>
        <w:gridCol w:w="776"/>
        <w:gridCol w:w="711"/>
        <w:gridCol w:w="789"/>
        <w:gridCol w:w="711"/>
        <w:gridCol w:w="855"/>
        <w:gridCol w:w="723"/>
        <w:gridCol w:w="790"/>
        <w:gridCol w:w="868"/>
        <w:gridCol w:w="790"/>
        <w:gridCol w:w="710"/>
        <w:gridCol w:w="803"/>
      </w:tblGrid>
      <w:tr w14:paraId="367A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F570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单位：万元</w:t>
            </w:r>
          </w:p>
        </w:tc>
        <w:tc>
          <w:tcPr>
            <w:tcW w:w="1777" w:type="dxa"/>
            <w:gridSpan w:val="2"/>
            <w:tcBorders>
              <w:top w:val="single" w:color="000000" w:sz="4" w:space="0"/>
              <w:left w:val="nil"/>
              <w:bottom w:val="single" w:color="000000" w:sz="4" w:space="0"/>
              <w:right w:val="single" w:color="000000" w:sz="4" w:space="0"/>
            </w:tcBorders>
            <w:shd w:val="clear" w:color="auto" w:fill="DCE6F1"/>
            <w:vAlign w:val="center"/>
          </w:tcPr>
          <w:p w14:paraId="0B11CEA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党政</w:t>
            </w:r>
          </w:p>
        </w:tc>
        <w:tc>
          <w:tcPr>
            <w:tcW w:w="1592" w:type="dxa"/>
            <w:gridSpan w:val="2"/>
            <w:tcBorders>
              <w:top w:val="single" w:color="000000" w:sz="4" w:space="0"/>
              <w:left w:val="nil"/>
              <w:bottom w:val="single" w:color="000000" w:sz="4" w:space="0"/>
              <w:right w:val="single" w:color="000000" w:sz="4" w:space="0"/>
            </w:tcBorders>
            <w:shd w:val="clear" w:color="auto" w:fill="DCE6F1"/>
            <w:vAlign w:val="center"/>
          </w:tcPr>
          <w:p w14:paraId="4EEF80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融合</w:t>
            </w:r>
          </w:p>
        </w:tc>
        <w:tc>
          <w:tcPr>
            <w:tcW w:w="1605" w:type="dxa"/>
            <w:gridSpan w:val="2"/>
            <w:tcBorders>
              <w:top w:val="single" w:color="000000" w:sz="4" w:space="0"/>
              <w:left w:val="nil"/>
              <w:bottom w:val="single" w:color="000000" w:sz="4" w:space="0"/>
              <w:right w:val="single" w:color="000000" w:sz="4" w:space="0"/>
            </w:tcBorders>
            <w:shd w:val="clear" w:color="auto" w:fill="DCE6F1"/>
            <w:vAlign w:val="center"/>
          </w:tcPr>
          <w:p w14:paraId="4156FBF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金融</w:t>
            </w:r>
          </w:p>
        </w:tc>
        <w:tc>
          <w:tcPr>
            <w:tcW w:w="1487" w:type="dxa"/>
            <w:gridSpan w:val="2"/>
            <w:tcBorders>
              <w:top w:val="single" w:color="000000" w:sz="4" w:space="0"/>
              <w:left w:val="nil"/>
              <w:bottom w:val="single" w:color="000000" w:sz="4" w:space="0"/>
              <w:right w:val="single" w:color="000000" w:sz="4" w:space="0"/>
            </w:tcBorders>
            <w:shd w:val="clear" w:color="auto" w:fill="DCE6F1"/>
            <w:vAlign w:val="center"/>
          </w:tcPr>
          <w:p w14:paraId="4C61C32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交通</w:t>
            </w:r>
          </w:p>
        </w:tc>
        <w:tc>
          <w:tcPr>
            <w:tcW w:w="1500" w:type="dxa"/>
            <w:gridSpan w:val="2"/>
            <w:tcBorders>
              <w:top w:val="single" w:color="000000" w:sz="4" w:space="0"/>
              <w:left w:val="nil"/>
              <w:bottom w:val="single" w:color="000000" w:sz="4" w:space="0"/>
              <w:right w:val="single" w:color="000000" w:sz="4" w:space="0"/>
            </w:tcBorders>
            <w:shd w:val="clear" w:color="auto" w:fill="DCE6F1"/>
            <w:vAlign w:val="center"/>
          </w:tcPr>
          <w:p w14:paraId="678D94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教育</w:t>
            </w:r>
          </w:p>
        </w:tc>
        <w:tc>
          <w:tcPr>
            <w:tcW w:w="1566" w:type="dxa"/>
            <w:gridSpan w:val="2"/>
            <w:tcBorders>
              <w:top w:val="single" w:color="000000" w:sz="4" w:space="0"/>
              <w:left w:val="nil"/>
              <w:bottom w:val="single" w:color="000000" w:sz="4" w:space="0"/>
              <w:right w:val="single" w:color="000000" w:sz="4" w:space="0"/>
            </w:tcBorders>
            <w:shd w:val="clear" w:color="auto" w:fill="DCE6F1"/>
            <w:vAlign w:val="center"/>
          </w:tcPr>
          <w:p w14:paraId="34ABA13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工业能源</w:t>
            </w:r>
          </w:p>
        </w:tc>
        <w:tc>
          <w:tcPr>
            <w:tcW w:w="1513" w:type="dxa"/>
            <w:gridSpan w:val="2"/>
            <w:tcBorders>
              <w:top w:val="single" w:color="000000" w:sz="4" w:space="0"/>
              <w:left w:val="nil"/>
              <w:bottom w:val="single" w:color="000000" w:sz="4" w:space="0"/>
              <w:right w:val="single" w:color="000000" w:sz="4" w:space="0"/>
            </w:tcBorders>
            <w:shd w:val="clear" w:color="auto" w:fill="DCE6F1"/>
            <w:vAlign w:val="center"/>
          </w:tcPr>
          <w:p w14:paraId="69CF0AF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医卫</w:t>
            </w:r>
          </w:p>
        </w:tc>
        <w:tc>
          <w:tcPr>
            <w:tcW w:w="1658" w:type="dxa"/>
            <w:gridSpan w:val="2"/>
            <w:tcBorders>
              <w:top w:val="single" w:color="000000" w:sz="4" w:space="0"/>
              <w:left w:val="nil"/>
              <w:bottom w:val="single" w:color="000000" w:sz="4" w:space="0"/>
              <w:right w:val="single" w:color="000000" w:sz="4" w:space="0"/>
            </w:tcBorders>
            <w:shd w:val="clear" w:color="auto" w:fill="DCE6F1"/>
            <w:vAlign w:val="center"/>
          </w:tcPr>
          <w:p w14:paraId="4901F8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互联网</w:t>
            </w:r>
          </w:p>
        </w:tc>
        <w:tc>
          <w:tcPr>
            <w:tcW w:w="1513" w:type="dxa"/>
            <w:gridSpan w:val="2"/>
            <w:tcBorders>
              <w:top w:val="single" w:color="000000" w:sz="4" w:space="0"/>
              <w:left w:val="nil"/>
              <w:bottom w:val="single" w:color="000000" w:sz="4" w:space="0"/>
              <w:right w:val="single" w:color="000000" w:sz="4" w:space="0"/>
            </w:tcBorders>
            <w:shd w:val="clear" w:color="auto" w:fill="DCE6F1"/>
            <w:vAlign w:val="center"/>
          </w:tcPr>
          <w:p w14:paraId="7717D68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农商</w:t>
            </w:r>
          </w:p>
        </w:tc>
      </w:tr>
      <w:tr w14:paraId="0F8A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5124BA40">
            <w:pPr>
              <w:jc w:val="center"/>
              <w:rPr>
                <w:rFonts w:hint="eastAsia" w:ascii="宋体" w:hAnsi="宋体" w:eastAsia="宋体" w:cs="宋体"/>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7F375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882"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D9D27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63"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38419F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829"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0312AC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803"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C4B6D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802"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9AB6C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11"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00682C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77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5D31DF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11"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6C2ED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789"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5556C0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11"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55D9CC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85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E3091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23"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5294B3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79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39B31B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868"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6F085F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79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50B8A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c>
          <w:tcPr>
            <w:tcW w:w="71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C5ECED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收入</w:t>
            </w:r>
          </w:p>
        </w:tc>
        <w:tc>
          <w:tcPr>
            <w:tcW w:w="803"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DEA319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完成率</w:t>
            </w:r>
          </w:p>
        </w:tc>
      </w:tr>
      <w:tr w14:paraId="31F0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960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广东</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B8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213979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2A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55.8%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84C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832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B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F1A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42384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537EFC1">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58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18997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23B155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B9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29231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34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9A4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67687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E2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1B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19948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0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65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256353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F11F65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21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87019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36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30.0%</w:t>
            </w:r>
          </w:p>
        </w:tc>
      </w:tr>
      <w:tr w14:paraId="0250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B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浙江</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00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94890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72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34.1%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1A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204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02CF85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BC3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20016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986B60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CA3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17775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78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46.5%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F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21987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2CD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361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25719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B7A3DA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AD2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8367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A2A946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0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118315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55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4A5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51948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424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32.5%</w:t>
            </w:r>
          </w:p>
        </w:tc>
      </w:tr>
      <w:tr w14:paraId="2F4A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6BC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江苏</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F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133909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BA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37.0%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7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385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3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814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15247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12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FB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11059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4E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2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18560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0A4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F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40317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79B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B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7753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7FA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5E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153566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1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5B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67069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3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31.7%</w:t>
            </w:r>
          </w:p>
        </w:tc>
      </w:tr>
      <w:tr w14:paraId="5531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341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北京</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2CC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26444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84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420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889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229D0F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12.0%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35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105602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4EAF94D">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E3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18520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AA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1F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1962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EE6B6A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430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11592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B92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E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1514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6A6ADF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4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180756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DFF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B9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12491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CE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32.3%</w:t>
            </w:r>
          </w:p>
        </w:tc>
      </w:tr>
      <w:tr w14:paraId="0D71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34A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上海</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3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20910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E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F1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211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D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78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35837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18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3F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11667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5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2BE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1041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80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A7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8685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C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F2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1260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73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FB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138555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2B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B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13278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50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32.1%</w:t>
            </w:r>
          </w:p>
        </w:tc>
      </w:tr>
      <w:tr w14:paraId="0B3B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8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山东</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89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71412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EC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59A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352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1C0105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11.7%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4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18445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6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12C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6102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14D90E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EC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12351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7AC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44.1%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75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19644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524487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CBF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5182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14DD81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3D6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88258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CA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897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47374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3C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34.3%</w:t>
            </w:r>
          </w:p>
        </w:tc>
      </w:tr>
      <w:tr w14:paraId="5182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1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四川</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9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60202 </w:t>
            </w:r>
          </w:p>
        </w:tc>
        <w:tc>
          <w:tcPr>
            <w:tcW w:w="88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95765D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4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408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6CC947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C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8676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BFEDD0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73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13270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82D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11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12710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AE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1A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18710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8E5363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9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6835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8E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F5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30954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13D970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3E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36056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0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34.7%</w:t>
            </w:r>
          </w:p>
        </w:tc>
      </w:tr>
      <w:tr w14:paraId="6B7B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4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辽宁</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C9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31278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2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11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847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96EA9E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01B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13719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6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1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3381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57874C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C9D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3316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A450AD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5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5840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A882CB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B6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3726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F0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671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32902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77B3C4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899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13434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32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33.7%</w:t>
            </w:r>
          </w:p>
        </w:tc>
      </w:tr>
      <w:tr w14:paraId="7992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78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河南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78A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55956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86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4BF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537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A8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80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8398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F3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A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7804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C8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95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22967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39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4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12532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5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9F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6824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1FD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42.1%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A3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72260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0F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3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41478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999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31.0%</w:t>
            </w:r>
          </w:p>
        </w:tc>
      </w:tr>
      <w:tr w14:paraId="7510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F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河北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CD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20607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A38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4D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529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8E2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55.6%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2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9445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DC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E08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4008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CEC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CB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5049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D9E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3E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8318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AB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889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2226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6B9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1E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68576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0F8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97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13980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3C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28.9%</w:t>
            </w:r>
          </w:p>
        </w:tc>
      </w:tr>
      <w:tr w14:paraId="1A1E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D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福建</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0B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37592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8FC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32.9%</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3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328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7112CF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BF3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9503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81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3D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3214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3C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D8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7147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F1C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7C9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10046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F4E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6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5233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39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818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48948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2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4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24221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4CCAC9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22.8%</w:t>
            </w:r>
          </w:p>
        </w:tc>
      </w:tr>
      <w:tr w14:paraId="79D1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5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湖南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34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38857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A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38.1%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4B6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FADC57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15.4%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FB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10643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A6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45.7%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BD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2210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D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E6C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5878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A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E0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3030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B22CFB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1D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2598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7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3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26076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8B177E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69A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15283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4C3E1F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20.0%</w:t>
            </w:r>
          </w:p>
        </w:tc>
      </w:tr>
      <w:tr w14:paraId="0FC2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B8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湖北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D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27176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B1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14A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805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CD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B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7143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DD8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42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3662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792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90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4169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5E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31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8770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86A7C3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4E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2886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E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BC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29977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88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1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13373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D7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25.5%</w:t>
            </w:r>
          </w:p>
        </w:tc>
      </w:tr>
      <w:tr w14:paraId="63E9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078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安徽</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39E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26476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4E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86B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255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AE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56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14060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C4E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5B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2483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1B172D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C7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5389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B18316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A1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8467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CDAD197">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AF9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3331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319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86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21369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73C086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ED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29559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8D09C77">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24.9%</w:t>
            </w:r>
          </w:p>
        </w:tc>
      </w:tr>
      <w:tr w14:paraId="78FC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A23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广西</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33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24606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5E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406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412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90A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7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4674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7DE56D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7A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2280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00DA04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E8B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7668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E1E535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6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5253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743351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5CE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3622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34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73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23338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B3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1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17453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F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27.7%</w:t>
            </w:r>
          </w:p>
        </w:tc>
      </w:tr>
      <w:tr w14:paraId="5605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BD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江西</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0C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31759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8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A8C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1022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E26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A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5547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D82CA1D">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9A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2305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2744EC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A4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18575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1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E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6054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EBFBA8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61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3226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C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FC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22753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6A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69A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18325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C3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31.9%</w:t>
            </w:r>
          </w:p>
        </w:tc>
      </w:tr>
      <w:tr w14:paraId="18DF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94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陕西</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FB8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24948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34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DB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673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D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1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4873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F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76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3428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9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A2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5837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E1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12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6122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F9EB37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B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3196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8829487">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29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46833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5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BB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13435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1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27.2%</w:t>
            </w:r>
          </w:p>
        </w:tc>
      </w:tr>
      <w:tr w14:paraId="3F61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A5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山西</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4C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24595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3A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BA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2229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1F8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132.7%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C5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3987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E7D2E2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E35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3001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022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B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4939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474674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406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14387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4A9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69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3432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B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102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18387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3C0640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16.6%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7B0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16539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57C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29.5%</w:t>
            </w:r>
          </w:p>
        </w:tc>
      </w:tr>
      <w:tr w14:paraId="56B5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7D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云南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C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32039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9D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4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271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4C2627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651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17843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5C58E6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42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2040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B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34.6%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3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7826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BA10E5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E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8085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DF35E2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AB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2733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7F5797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8D9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13700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4D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23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20407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5B4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25.8%</w:t>
            </w:r>
          </w:p>
        </w:tc>
      </w:tr>
      <w:tr w14:paraId="67DA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08B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黑龙江</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E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12243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C9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77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32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D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2573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99B003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DF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994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B9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0B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1725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CEF813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79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3654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E0834B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C7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2030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07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2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18022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20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D8D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6354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D00BD3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22.1%</w:t>
            </w:r>
          </w:p>
        </w:tc>
      </w:tr>
      <w:tr w14:paraId="375D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2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吉林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6E8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7132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5B0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1F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556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2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44.7%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DE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2751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D60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06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2293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83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6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610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5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589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3395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4D9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12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743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30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B0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6754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961325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4E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4112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0A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27.1%</w:t>
            </w:r>
          </w:p>
        </w:tc>
      </w:tr>
      <w:tr w14:paraId="765D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EF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天津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8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4955 </w:t>
            </w:r>
          </w:p>
        </w:tc>
        <w:tc>
          <w:tcPr>
            <w:tcW w:w="88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2A0F95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863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90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26088C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E1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1703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CF78B1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EAB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821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02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B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823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A0C06F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18.1%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D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3982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85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D0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574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FA10C6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18.3%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DF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23088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C2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A2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2608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F2C479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19.8%</w:t>
            </w:r>
          </w:p>
        </w:tc>
      </w:tr>
      <w:tr w14:paraId="0A71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4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重庆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DBA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15647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5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5D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8ED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37.1%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F8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2477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2A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D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4868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0E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8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2809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3AC968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7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3926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A1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4E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1921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1E2E46F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9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33301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7C3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C8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6557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775169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21.1%</w:t>
            </w:r>
          </w:p>
        </w:tc>
      </w:tr>
      <w:tr w14:paraId="4DDC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CC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贵州</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B4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11607 </w:t>
            </w:r>
          </w:p>
        </w:tc>
        <w:tc>
          <w:tcPr>
            <w:tcW w:w="88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AD5C9B1">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836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214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737F74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F2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2288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C4D090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5.5%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EAB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1470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B81951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18.7%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4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7866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CFB3FE8">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8E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4369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0F5AD3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A7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3016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1DAE69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2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39600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B7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75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12006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D8C750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24.7%</w:t>
            </w:r>
          </w:p>
        </w:tc>
      </w:tr>
      <w:tr w14:paraId="25A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C8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海南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20A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10636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1A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82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140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C9D287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C5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1993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0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6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416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0B4BFC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2E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2898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1080D6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E5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1765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FA8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9B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573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3F735B0">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17.0%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D5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7638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95545C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21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2507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F10658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16.1%</w:t>
            </w:r>
          </w:p>
        </w:tc>
      </w:tr>
      <w:tr w14:paraId="6107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6B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内蒙古</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D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9296 </w:t>
            </w:r>
          </w:p>
        </w:tc>
        <w:tc>
          <w:tcPr>
            <w:tcW w:w="88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5D8D56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23.6%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D9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182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6A9DA2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15.4%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D8F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6121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431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36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848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8E2341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D4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2529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959D8C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0A8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7419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E95FD01">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95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1289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64DC29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9F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27148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7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1E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4810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5B9FA53">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21.0%</w:t>
            </w:r>
          </w:p>
        </w:tc>
      </w:tr>
      <w:tr w14:paraId="5406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598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甘肃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485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21827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8F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2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590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60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69.9%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FDB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2728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4262883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16.8%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90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1146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084B8C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42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3375 </w:t>
            </w:r>
          </w:p>
        </w:tc>
        <w:tc>
          <w:tcPr>
            <w:tcW w:w="78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246827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E9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3048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654C63AF">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18.8%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D6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1290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FBE79B4">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91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10371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B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3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7876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85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30.0%</w:t>
            </w:r>
          </w:p>
        </w:tc>
      </w:tr>
      <w:tr w14:paraId="455D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D4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青海</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987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6339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54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0D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7C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177.4%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139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1028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D2F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37.6%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6C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600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B36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41.8%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C9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549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41A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565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2104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93B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C4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910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70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64.2%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C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10634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8AF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0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2666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748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35.7%</w:t>
            </w:r>
          </w:p>
        </w:tc>
      </w:tr>
      <w:tr w14:paraId="53D3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4A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宁夏</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29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11429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1F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04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16 </w:t>
            </w:r>
          </w:p>
        </w:tc>
        <w:tc>
          <w:tcPr>
            <w:tcW w:w="829"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872FB6C">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10.2%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FC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1535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6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5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401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E57A66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C0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1411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53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AB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1167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8654AA5">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24.4%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63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370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FFA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1B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11460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E04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22C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2425 </w:t>
            </w:r>
          </w:p>
        </w:tc>
        <w:tc>
          <w:tcPr>
            <w:tcW w:w="803"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BA9730E">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20.0%</w:t>
            </w:r>
          </w:p>
        </w:tc>
      </w:tr>
      <w:tr w14:paraId="3EDE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57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新疆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52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21735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8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D3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753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75A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EA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1846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17535D2">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19.1%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9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1743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230D796">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0A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4851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8B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37.0%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16D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6236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3A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7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4450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3C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0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3514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76E16F0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12.1%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FFE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15211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5A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32.2%</w:t>
            </w:r>
          </w:p>
        </w:tc>
      </w:tr>
      <w:tr w14:paraId="5F22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2F1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西藏</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3E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7711 </w:t>
            </w:r>
          </w:p>
        </w:tc>
        <w:tc>
          <w:tcPr>
            <w:tcW w:w="88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3D88AEFB">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22.3%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FB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1323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D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3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567 </w:t>
            </w:r>
          </w:p>
        </w:tc>
        <w:tc>
          <w:tcPr>
            <w:tcW w:w="802"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614B9A7">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10.3%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49B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281 </w:t>
            </w:r>
          </w:p>
        </w:tc>
        <w:tc>
          <w:tcPr>
            <w:tcW w:w="776"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5D53C2D9">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14.3%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9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1488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5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19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465 </w:t>
            </w:r>
          </w:p>
        </w:tc>
        <w:tc>
          <w:tcPr>
            <w:tcW w:w="855"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07DAF20D">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15.8%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C5B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320 </w:t>
            </w:r>
          </w:p>
        </w:tc>
        <w:tc>
          <w:tcPr>
            <w:tcW w:w="790" w:type="dxa"/>
            <w:tcBorders>
              <w:top w:val="single" w:color="000000" w:sz="4" w:space="0"/>
              <w:left w:val="single" w:color="000000" w:sz="4" w:space="0"/>
              <w:bottom w:val="single" w:color="000000" w:sz="4" w:space="0"/>
              <w:right w:val="single" w:color="000000" w:sz="4" w:space="0"/>
            </w:tcBorders>
            <w:shd w:val="clear" w:color="auto" w:fill="FFC7CE"/>
            <w:vAlign w:val="center"/>
          </w:tcPr>
          <w:p w14:paraId="2BEA18DA">
            <w:pPr>
              <w:keepNext w:val="0"/>
              <w:keepLines w:val="0"/>
              <w:widowControl/>
              <w:suppressLineNumbers w:val="0"/>
              <w:jc w:val="center"/>
              <w:textAlignment w:val="center"/>
              <w:rPr>
                <w:rFonts w:hint="eastAsia" w:ascii="黑体" w:hAnsi="宋体" w:eastAsia="黑体" w:cs="黑体"/>
                <w:i w:val="0"/>
                <w:iCs w:val="0"/>
                <w:color w:val="9C0006"/>
                <w:sz w:val="18"/>
                <w:szCs w:val="18"/>
                <w:u w:val="none"/>
              </w:rPr>
            </w:pPr>
            <w:r>
              <w:rPr>
                <w:rFonts w:hint="eastAsia" w:ascii="黑体" w:hAnsi="宋体" w:eastAsia="黑体" w:cs="黑体"/>
                <w:i w:val="0"/>
                <w:iCs w:val="0"/>
                <w:color w:val="9C0006"/>
                <w:kern w:val="0"/>
                <w:sz w:val="18"/>
                <w:szCs w:val="18"/>
                <w:u w:val="none"/>
                <w:lang w:val="en-US" w:eastAsia="zh-CN" w:bidi="ar"/>
              </w:rPr>
              <w:t>21.0%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14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3165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F6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51.8%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F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1483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D3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25.4%</w:t>
            </w:r>
          </w:p>
        </w:tc>
      </w:tr>
    </w:tbl>
    <w:p w14:paraId="20392DF5">
      <w:pPr>
        <w:ind w:firstLine="420" w:firstLineChars="200"/>
        <w:rPr>
          <w:rFonts w:cs="黑体" w:asciiTheme="minorEastAsia" w:hAnsiTheme="minorEastAsia"/>
          <w:bCs/>
          <w:szCs w:val="21"/>
          <w:lang w:bidi="ar"/>
        </w:rPr>
      </w:pPr>
      <w:r>
        <w:rPr>
          <w:rFonts w:hint="eastAsia" w:cs="黑体" w:asciiTheme="minorEastAsia" w:hAnsiTheme="minorEastAsia"/>
          <w:bCs/>
          <w:szCs w:val="21"/>
          <w:lang w:bidi="ar"/>
        </w:rPr>
        <w:t>注：标红代表收入完成率落后时间进度（</w:t>
      </w:r>
      <w:r>
        <w:rPr>
          <w:rFonts w:hint="eastAsia" w:cs="黑体" w:asciiTheme="minorEastAsia" w:hAnsiTheme="minorEastAsia"/>
          <w:bCs/>
          <w:szCs w:val="21"/>
          <w:lang w:val="en-US" w:eastAsia="zh-CN" w:bidi="ar"/>
        </w:rPr>
        <w:t>25</w:t>
      </w:r>
      <w:r>
        <w:rPr>
          <w:rFonts w:hint="eastAsia" w:cs="黑体" w:asciiTheme="minorEastAsia" w:hAnsiTheme="minorEastAsia"/>
          <w:bCs/>
          <w:szCs w:val="21"/>
          <w:lang w:bidi="ar"/>
        </w:rPr>
        <w:t>%）。</w:t>
      </w:r>
    </w:p>
    <w:p w14:paraId="4505AD4B">
      <w:pPr>
        <w:ind w:firstLine="643" w:firstLineChars="200"/>
        <w:rPr>
          <w:rFonts w:hint="default" w:ascii="黑体" w:hAnsi="宋体" w:eastAsia="黑体" w:cs="黑体"/>
          <w:b/>
          <w:bCs/>
          <w:sz w:val="32"/>
          <w:szCs w:val="32"/>
          <w:lang w:val="en-US" w:eastAsia="zh-CN" w:bidi="ar"/>
        </w:rPr>
      </w:pPr>
      <w:r>
        <w:rPr>
          <w:rFonts w:hint="eastAsia" w:ascii="黑体" w:hAnsi="宋体" w:eastAsia="黑体" w:cs="黑体"/>
          <w:b/>
          <w:bCs/>
          <w:sz w:val="32"/>
          <w:szCs w:val="32"/>
          <w:lang w:val="en-US" w:eastAsia="zh-CN" w:bidi="ar"/>
        </w:rPr>
        <w:t>二、分省分行业大单优单拓展情况</w:t>
      </w:r>
    </w:p>
    <w:tbl>
      <w:tblPr>
        <w:tblStyle w:val="5"/>
        <w:tblW w:w="1393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756"/>
        <w:gridCol w:w="704"/>
        <w:gridCol w:w="756"/>
        <w:gridCol w:w="704"/>
        <w:gridCol w:w="756"/>
        <w:gridCol w:w="704"/>
        <w:gridCol w:w="756"/>
        <w:gridCol w:w="704"/>
        <w:gridCol w:w="756"/>
        <w:gridCol w:w="704"/>
        <w:gridCol w:w="756"/>
        <w:gridCol w:w="704"/>
        <w:gridCol w:w="756"/>
        <w:gridCol w:w="704"/>
        <w:gridCol w:w="756"/>
        <w:gridCol w:w="704"/>
        <w:gridCol w:w="756"/>
        <w:gridCol w:w="704"/>
      </w:tblGrid>
      <w:tr w14:paraId="2D89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79ED046">
            <w:pPr>
              <w:jc w:val="center"/>
              <w:rPr>
                <w:rFonts w:hint="eastAsia" w:ascii="黑体" w:hAnsi="宋体" w:eastAsia="黑体" w:cs="黑体"/>
                <w:i w:val="0"/>
                <w:iCs w:val="0"/>
                <w:color w:val="000000"/>
                <w:sz w:val="16"/>
                <w:szCs w:val="16"/>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EB8B8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党政</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7E7EEB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融合</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E322A5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工业能源</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49D76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互联网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07EED28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交通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D64B2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教育</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EA3E89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金融</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28958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农商</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03B3C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医卫</w:t>
            </w:r>
          </w:p>
        </w:tc>
      </w:tr>
      <w:tr w14:paraId="1B06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DCF1FAF">
            <w:pPr>
              <w:jc w:val="center"/>
              <w:rPr>
                <w:rFonts w:hint="eastAsia" w:ascii="黑体" w:hAnsi="宋体" w:eastAsia="黑体" w:cs="黑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1C08F2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328068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36EF1A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1A5295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93F15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BAD88F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CCEEE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A13E3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047281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B83749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5A617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CEEA64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26177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1E3ED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F3491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7F27E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c>
          <w:tcPr>
            <w:tcW w:w="75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3A4A50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金额（万）</w:t>
            </w:r>
          </w:p>
        </w:tc>
        <w:tc>
          <w:tcPr>
            <w:tcW w:w="70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5A51BE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优单</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个数</w:t>
            </w:r>
          </w:p>
        </w:tc>
      </w:tr>
      <w:tr w14:paraId="16A9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5B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广东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113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83334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CB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DF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CB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19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18063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3BC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74F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28303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17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79F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13784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62F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6F1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7920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0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747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4565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C48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A53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18604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B9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77A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3868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B11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r>
      <w:tr w14:paraId="49CC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22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浙江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FB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81557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648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F9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A7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28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3203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85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210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51580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53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F2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18985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02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48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3008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B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7F2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1000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1B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A77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13524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AC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1E3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1910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49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03B2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1A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江苏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68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113896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496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F44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4B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5EB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32983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2C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13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61652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7FE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A0C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13469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0A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FF1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30357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C37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E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720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16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0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3369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1A4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9DF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00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r>
      <w:tr w14:paraId="581C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72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北京</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24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1851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12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46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85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DE2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8731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E9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B5F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78814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BAF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737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2506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7E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8B8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8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069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2114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E8D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E26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13634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87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957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E7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1D0E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25D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上海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1FC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3882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4D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45B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C85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0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B7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433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15747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213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D6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339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45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CD7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C88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3B3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6EF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9C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934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0D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E9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22582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84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r>
      <w:tr w14:paraId="4D55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8C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山东</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53B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28993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E92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0E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1A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0B5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7344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3A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D2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28643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6F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3F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8572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18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6BB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5757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FD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C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1759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EB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58C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3159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7BC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22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6C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r>
      <w:tr w14:paraId="1204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96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四川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4B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20312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D0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A11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1FB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95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2723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B47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57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6492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753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C5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1341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B64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C62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2249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E0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A6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865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6A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2F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1749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2F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9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71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r>
      <w:tr w14:paraId="48F4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52F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辽宁</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92D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24107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80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9F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1BC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08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16999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50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77E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942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AF5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0EE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4DE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01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FA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6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4340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80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AA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461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3D8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5D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B86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5500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2C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河南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2C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19703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5D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C4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54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48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3139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C9D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16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3975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3B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8C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4064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E6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C7A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2114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68F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E1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8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22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83516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84B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F98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AE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r>
      <w:tr w14:paraId="37A4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A22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河北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785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17849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9A9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17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27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45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1659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568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10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11297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2D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8C7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709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0C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40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3731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C9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FFB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B3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3E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7C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1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776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617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6BBA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C8E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福建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7F1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10843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918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EF0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097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799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7510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0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DC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1200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22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43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3607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5D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A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32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CB8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2A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78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8644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9F0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6CF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5A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52A4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93A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湖南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B5D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18009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B4A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493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684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02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9A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AC3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5182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7C4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C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37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D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BBE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95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835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7D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46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A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082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688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A9C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r>
      <w:tr w14:paraId="47A0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01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湖北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B34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3887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2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0B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D59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7D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5F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D5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6D5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B8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343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C0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B3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987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A5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3F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C93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2126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B2F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E90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909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E7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r>
      <w:tr w14:paraId="7902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76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安徽</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8D1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26490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C8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2D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A17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69F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23C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38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B55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9EC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1199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3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B0F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6017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E2A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3ED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5B3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62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3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8A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C0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r>
      <w:tr w14:paraId="4B69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7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广西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675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23183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0B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BA5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DC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962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869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7C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3A8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1060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EBE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AE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42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E7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790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3EF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DC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628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43F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2108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D7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57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27230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A1E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5D8E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6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江西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A6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19752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745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C6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52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3E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2174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23B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56F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28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FA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1890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87D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0B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371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49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9D7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E6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580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450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A68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93E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3877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3C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0464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DB6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陕西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41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4496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D2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062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843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EDA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1870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EE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05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11463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AA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518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1000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BF2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943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16913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A79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0A6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544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E6D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A2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1950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18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A4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99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r>
      <w:tr w14:paraId="1C28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22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山西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AC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13185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CC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B4C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8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68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3087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C24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16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8202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FC0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C7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2D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ECB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1045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5A6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48A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1949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6A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480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2123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3C4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5E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0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7A20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D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云南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7B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7523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E5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DB1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7E7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F32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CD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D67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BFA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F3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406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CB3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F15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3630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42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3DD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1456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1E7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59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0D2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A0F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54E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r>
      <w:tr w14:paraId="7085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4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黑龙江</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D3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9599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F13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B3E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62E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C0C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358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A5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D2B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BF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8A4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52D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941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432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C1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320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AE9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8B2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448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E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E2A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E2E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6973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6D7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吉林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BB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410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9B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A9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9DA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D48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850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24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29F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759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1C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022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51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D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56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F4E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E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B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798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F03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CE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3913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BEC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6E4F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A18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天津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2C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55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2CE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100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08B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1346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8E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AC6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10113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DFF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29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636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FF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ECD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A1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9F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65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034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3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84F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77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3CF5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D4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重庆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02F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7627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EC2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06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08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24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929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F9D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CD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450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471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20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1000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A0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42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2242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81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5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33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E06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4881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D4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D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3913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33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4549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A9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贵州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42C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1864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DD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721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5B0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48B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813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CB7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2859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BC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02A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2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9B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C9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7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360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742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FF5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2016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F7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FA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311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304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0F96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38F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海南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A1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2717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93D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AE1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AFE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A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567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3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1276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9CD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567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FAC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C6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11B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3D5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E74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C7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84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B66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5416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1A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3D80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FB7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内蒙古</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07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390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43E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858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98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4E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10179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7E0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87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680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0C6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B10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2798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FA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D48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28A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F99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491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6DA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7F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025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B5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640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A2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0518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D8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甘肃</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8C0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7825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5E6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B17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E73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A00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2858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E3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062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B0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DF4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DBD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C8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45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331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963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6BA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D5E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B1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D9C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78B2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E3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青海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A1F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7289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C97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8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AA6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57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003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37F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A2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1D5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AE1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C41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34C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3DF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E19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D5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487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02A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0B7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2041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0C0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119D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F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宁夏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4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13376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EEC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A71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E9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7B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F56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DD5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AB9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6F7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089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8FD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302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8E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47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D50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3EB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1153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ED1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55D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5127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8A2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r w14:paraId="6D23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F70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新疆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16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7664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7FD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E52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FA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46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995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25E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8E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97A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AD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5098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17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B26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2508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34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57D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EB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B14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2432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786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51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510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876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r>
      <w:tr w14:paraId="4CF9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2B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西藏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A5D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346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125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0BE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4C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72D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462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418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ED4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F4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E16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34E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A6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6C6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28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38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0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F284">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2EC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 xml:space="preserve">1164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921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0</w:t>
            </w:r>
          </w:p>
        </w:tc>
      </w:tr>
    </w:tbl>
    <w:p w14:paraId="2C6197DC">
      <w:pPr>
        <w:ind w:firstLine="643" w:firstLineChars="200"/>
        <w:rPr>
          <w:rFonts w:hint="eastAsia" w:ascii="黑体" w:hAnsi="宋体" w:eastAsia="黑体" w:cs="黑体"/>
          <w:b/>
          <w:bCs/>
          <w:sz w:val="32"/>
          <w:szCs w:val="32"/>
          <w:lang w:val="en-US" w:eastAsia="zh-CN" w:bidi="ar"/>
        </w:rPr>
      </w:pPr>
    </w:p>
    <w:p w14:paraId="71C51F6A">
      <w:pPr>
        <w:ind w:firstLine="643" w:firstLineChars="200"/>
        <w:rPr>
          <w:rFonts w:ascii="黑体" w:hAnsi="宋体" w:eastAsia="黑体" w:cs="黑体"/>
          <w:b/>
          <w:bCs/>
          <w:sz w:val="32"/>
          <w:szCs w:val="32"/>
          <w:lang w:bidi="ar"/>
        </w:rPr>
      </w:pPr>
      <w:r>
        <w:rPr>
          <w:rFonts w:hint="eastAsia" w:ascii="黑体" w:hAnsi="宋体" w:eastAsia="黑体" w:cs="黑体"/>
          <w:b/>
          <w:bCs/>
          <w:sz w:val="32"/>
          <w:szCs w:val="32"/>
          <w:lang w:val="en-US" w:eastAsia="zh-CN" w:bidi="ar"/>
        </w:rPr>
        <w:t>三</w:t>
      </w:r>
      <w:r>
        <w:rPr>
          <w:rFonts w:hint="eastAsia" w:ascii="黑体" w:hAnsi="宋体" w:eastAsia="黑体" w:cs="黑体"/>
          <w:b/>
          <w:bCs/>
          <w:sz w:val="32"/>
          <w:szCs w:val="32"/>
          <w:lang w:bidi="ar"/>
        </w:rPr>
        <w:t>、行业重点工作部署</w:t>
      </w:r>
    </w:p>
    <w:p w14:paraId="5A7911D3">
      <w:pPr>
        <w:spacing w:line="560" w:lineRule="exact"/>
        <w:ind w:firstLine="643" w:firstLineChars="200"/>
        <w:rPr>
          <w:rFonts w:hint="default" w:ascii="楷体_GB2312" w:hAnsi="黑体" w:eastAsia="楷体_GB2312"/>
          <w:b/>
          <w:bCs/>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一</w:t>
      </w: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党政行业</w:t>
      </w:r>
    </w:p>
    <w:p w14:paraId="65B71DE9">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智慧城市和数字政府专项部署</w:t>
      </w:r>
    </w:p>
    <w:p w14:paraId="09809EB5">
      <w:pPr>
        <w:spacing w:line="560" w:lineRule="exact"/>
        <w:ind w:firstLine="640" w:firstLineChars="200"/>
        <w:rPr>
          <w:rFonts w:ascii="仿宋_GB2312" w:hAnsi="黑体" w:eastAsia="仿宋_GB2312" w:cs="Times New Roman"/>
          <w:sz w:val="32"/>
        </w:rPr>
      </w:pPr>
      <w:r>
        <w:rPr>
          <w:rFonts w:hint="eastAsia" w:ascii="仿宋_GB2312" w:hAnsi="黑体" w:eastAsia="仿宋_GB2312" w:cs="Times New Roman"/>
          <w:sz w:val="32"/>
        </w:rPr>
        <w:t>4月2</w:t>
      </w:r>
      <w:r>
        <w:rPr>
          <w:rFonts w:ascii="仿宋_GB2312" w:hAnsi="黑体" w:eastAsia="仿宋_GB2312" w:cs="Times New Roman"/>
          <w:sz w:val="32"/>
        </w:rPr>
        <w:t>2日党政行业召开了</w:t>
      </w:r>
      <w:r>
        <w:rPr>
          <w:rFonts w:hint="eastAsia" w:ascii="仿宋_GB2312" w:hAnsi="黑体" w:eastAsia="仿宋_GB2312" w:cs="Times New Roman"/>
          <w:sz w:val="32"/>
        </w:rPr>
        <w:t>党政行业3月经营分析暨智慧城市和数字政府调度会。明确了后续四方面工作要求，请各省公司、相关专业机构机构抓好落实：</w:t>
      </w:r>
    </w:p>
    <w:p w14:paraId="4DAA78DF">
      <w:pPr>
        <w:spacing w:line="560" w:lineRule="exact"/>
        <w:ind w:firstLine="640" w:firstLineChars="200"/>
        <w:rPr>
          <w:rFonts w:ascii="仿宋_GB2312" w:hAnsi="黑体" w:eastAsia="仿宋_GB2312" w:cs="Times New Roman"/>
          <w:sz w:val="32"/>
        </w:rPr>
      </w:pPr>
      <w:r>
        <w:rPr>
          <w:rFonts w:ascii="仿宋_GB2312" w:hAnsi="黑体" w:eastAsia="仿宋_GB2312" w:cs="Times New Roman"/>
          <w:sz w:val="32"/>
        </w:rPr>
        <w:t>一是</w:t>
      </w:r>
      <w:r>
        <w:rPr>
          <w:rFonts w:hint="eastAsia" w:ascii="仿宋_GB2312" w:hAnsi="黑体" w:eastAsia="仿宋_GB2312" w:cs="Times New Roman"/>
          <w:sz w:val="32"/>
        </w:rPr>
        <w:t>商机拓展。各省公司要组建专班，一把手带队，对接省市县政府，高位推进智慧城市、数字政府专项攻坚，一是通过党建和创等手段，拓展数字政府领域商机。抓住政策窗口期，充分发挥集成公司、华为公司智慧城市联合团队专业优势，加强智慧城市、一网统管、城市运营中心（IOC）商机拓展，与省内大数据局、智慧办、数字办、发改委、工信局等牵头建设部门以顶设咨询切入合作。</w:t>
      </w:r>
    </w:p>
    <w:p w14:paraId="1FFD2709">
      <w:pPr>
        <w:spacing w:line="560" w:lineRule="exact"/>
        <w:ind w:firstLine="640" w:firstLineChars="200"/>
        <w:rPr>
          <w:rFonts w:ascii="仿宋_GB2312" w:hAnsi="黑体" w:eastAsia="仿宋_GB2312" w:cs="Times New Roman"/>
          <w:sz w:val="32"/>
        </w:rPr>
      </w:pPr>
      <w:r>
        <w:rPr>
          <w:rFonts w:ascii="仿宋_GB2312" w:hAnsi="黑体" w:eastAsia="仿宋_GB2312" w:cs="Times New Roman"/>
          <w:sz w:val="32"/>
        </w:rPr>
        <w:t>二是能力建设</w:t>
      </w:r>
      <w:r>
        <w:rPr>
          <w:rFonts w:hint="eastAsia" w:ascii="仿宋_GB2312" w:hAnsi="黑体" w:eastAsia="仿宋_GB2312" w:cs="Times New Roman"/>
          <w:sz w:val="32"/>
        </w:rPr>
        <w:t>。政企事业部已下发2022年OneCity平台拓展目标和产品结算方案，请各省加强自有产品推广和实践应用，重点落地OneCity平台产品。集成公司OneCity平台通过沉淀甘肃、沈阳项目等建设经验，不断优化升级，补强数字政府核心能力，做好自研平台在项目中落地支撑。每省至少系统订购落地一套标准化产品。</w:t>
      </w:r>
    </w:p>
    <w:p w14:paraId="7826341B">
      <w:pPr>
        <w:spacing w:line="560" w:lineRule="exact"/>
        <w:ind w:firstLine="640" w:firstLineChars="200"/>
        <w:rPr>
          <w:rFonts w:ascii="仿宋_GB2312" w:hAnsi="黑体" w:eastAsia="仿宋_GB2312" w:cs="Times New Roman"/>
          <w:sz w:val="32"/>
        </w:rPr>
      </w:pPr>
      <w:r>
        <w:rPr>
          <w:rFonts w:ascii="仿宋_GB2312" w:hAnsi="黑体" w:eastAsia="仿宋_GB2312" w:cs="Times New Roman"/>
          <w:sz w:val="32"/>
        </w:rPr>
        <w:t>三是宣传推广</w:t>
      </w:r>
      <w:r>
        <w:rPr>
          <w:rFonts w:hint="eastAsia" w:ascii="仿宋_GB2312" w:hAnsi="黑体" w:eastAsia="仿宋_GB2312" w:cs="Times New Roman"/>
          <w:sz w:val="32"/>
        </w:rPr>
        <w:t>。围绕智慧城市、数字政府重点项目，向标准化、规范化方向沉淀能力，形成省市县多级“样板间”，打造可实地参观的示范基地，提供面向全国党政条线客户的能力展示窗口，加快商机复制落地。各省每个地市打造一个有本地特色的智慧城市标杆，优先开放本省参观交流，并通过向集团申报示范基地实现全网参观支撑。</w:t>
      </w:r>
    </w:p>
    <w:p w14:paraId="4CF38AC2">
      <w:pPr>
        <w:spacing w:line="560" w:lineRule="exact"/>
        <w:ind w:firstLine="640" w:firstLineChars="200"/>
        <w:rPr>
          <w:rFonts w:ascii="仿宋_GB2312" w:hAnsi="黑体" w:eastAsia="仿宋_GB2312" w:cs="Times New Roman"/>
          <w:sz w:val="32"/>
        </w:rPr>
      </w:pPr>
      <w:r>
        <w:rPr>
          <w:rFonts w:ascii="仿宋_GB2312" w:hAnsi="黑体" w:eastAsia="仿宋_GB2312" w:cs="Times New Roman"/>
          <w:sz w:val="32"/>
        </w:rPr>
        <w:t>四是生态合作</w:t>
      </w:r>
      <w:r>
        <w:rPr>
          <w:rFonts w:hint="eastAsia" w:ascii="仿宋_GB2312" w:hAnsi="黑体" w:eastAsia="仿宋_GB2312" w:cs="Times New Roman"/>
          <w:sz w:val="32"/>
        </w:rPr>
        <w:t>。党政客户拓展部聚焦智慧城市、数字政府、媒体、应急、公安、政法、媒体七大细分行业开展DICT一级库招募，通过引入具有全网服务能力的行业头部合作伙伴，与集成公司及省公司二级库形成有效互补，高效支撑省侧项目落地。各省公司要积极推动DICT集成库招募后落地，将集团一级库的合作伙伴全量纳入省二级库，优选支撑落地本省项目，择优推荐省内优质合作伙伴入总部一级库，积极上报集成库应用标杆案例。</w:t>
      </w:r>
    </w:p>
    <w:p w14:paraId="45DEE3ED">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2</w:t>
      </w:r>
      <w:r>
        <w:rPr>
          <w:rFonts w:hint="eastAsia" w:ascii="仿宋_GB2312" w:hAnsi="Calibri" w:eastAsia="仿宋_GB2312" w:cs="Times New Roman"/>
          <w:b/>
          <w:bCs w:val="0"/>
          <w:color w:val="000000"/>
          <w:sz w:val="32"/>
          <w:szCs w:val="32"/>
          <w:shd w:val="clear" w:color="auto" w:fill="FFFFFF"/>
        </w:rPr>
        <w:t>、行业商机</w:t>
      </w:r>
    </w:p>
    <w:p w14:paraId="111CC724">
      <w:pPr>
        <w:spacing w:line="560" w:lineRule="exact"/>
        <w:ind w:firstLine="640" w:firstLineChars="200"/>
        <w:rPr>
          <w:rFonts w:hint="eastAsia" w:ascii="楷体_GB2312" w:hAnsi="黑体" w:eastAsia="楷体_GB2312"/>
          <w:b/>
          <w:bCs/>
          <w:sz w:val="32"/>
          <w:szCs w:val="32"/>
          <w:lang w:eastAsia="zh-CN"/>
        </w:rPr>
      </w:pPr>
      <w:r>
        <w:rPr>
          <w:rFonts w:hint="eastAsia" w:ascii="仿宋_GB2312" w:hAnsi="黑体" w:eastAsia="仿宋_GB2312" w:cs="Times New Roman"/>
          <w:sz w:val="32"/>
        </w:rPr>
        <w:t>请各省和物联网公司关注自然资源行业大数据应用商机，自然资源部制定行业标准《手机信令数据在自然资源领域的应用技术指南（征求意见稿）》已在近期发布，我单位是标准起草成员单位之一。标准涉及国土空间规划和自然资源监测两类大数据应用场景，八个子应用场景，其中自然资源监测部分子场景，可使用已有大数据精准信息推送产品解决客户工作中的问题，各省公司可使用全网产品“梧桐云信”或自有大数据产品，瞄准自然资源监测子场景，参考附件“自然资源行业监测场景营销料理包.rar”制定本省营销策略，进行针对性营销，快速成单。（联系人：政企事业部党政客户拓展部陈珍妮，18888806212，chenzhenni@chinamobile.com；信息技术中心徐苛杰，13408026042，xukejie@chinamobile.com）</w:t>
      </w:r>
    </w:p>
    <w:p w14:paraId="274C5B0C">
      <w:pPr>
        <w:spacing w:line="560" w:lineRule="exact"/>
        <w:ind w:firstLine="643" w:firstLineChars="200"/>
        <w:rPr>
          <w:rFonts w:hint="default" w:ascii="楷体_GB2312" w:hAnsi="黑体" w:eastAsia="楷体_GB2312"/>
          <w:b/>
          <w:bCs/>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二</w:t>
      </w: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融合行业</w:t>
      </w:r>
    </w:p>
    <w:p w14:paraId="29E511F1">
      <w:pPr>
        <w:spacing w:line="560" w:lineRule="exact"/>
        <w:ind w:firstLine="643" w:firstLineChars="200"/>
        <w:rPr>
          <w:rFonts w:hint="eastAsia" w:ascii="仿宋_GB2312" w:hAnsi="Calibri" w:eastAsia="仿宋_GB2312" w:cs="Times New Roman"/>
          <w:b/>
          <w:bCs w:val="0"/>
          <w:color w:val="000000"/>
          <w:sz w:val="32"/>
          <w:szCs w:val="32"/>
          <w:shd w:val="clear" w:color="auto" w:fill="FFFFFF"/>
          <w:lang w:eastAsia="zh-CN"/>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近期行业热点趋势</w:t>
      </w:r>
    </w:p>
    <w:p w14:paraId="46A19498">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分析公开网站和J采网招投标信息，客户在基础设施建设、智慧JY(安防)、退役平台、J职教育、会议系统、日常办公和智慧动员等方面需求旺盛，请各省针对性拓展，请专业公司做好支撑。同时，综合DBZQ、WJ及部分省需求，客户计划运用虚拟现实技术提升其信息化水平，对XR模拟训练、VR战术训练、智慧靶场、利用AR增强现实技术实施机务维修培训等需求较多，请集成公司加强研究，整合内外资源，储备相关能力。</w:t>
      </w:r>
    </w:p>
    <w:p w14:paraId="6C44DF37">
      <w:pPr>
        <w:numPr>
          <w:ilvl w:val="0"/>
          <w:numId w:val="1"/>
        </w:num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rPr>
        <w:t>商机管理系统数据填报情况</w:t>
      </w:r>
    </w:p>
    <w:p w14:paraId="220ABE1A">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一季度，23省在商机管理系统填报商机4494条，实为GF行业商机仅211条，正确率4.7%。天津、河北、安徽、福建、江西、西藏、甘肃和宁夏等8省填报数为0；广东、广西、贵州、江苏、辽宁、内蒙古、青海、山西、云南、上海等10省填报数据均非GF行业。请于5月底前完成问题整改，并反馈分省专员或GF行业商机接口张敏。</w:t>
      </w:r>
    </w:p>
    <w:p w14:paraId="2495A9A3">
      <w:pPr>
        <w:numPr>
          <w:ilvl w:val="0"/>
          <w:numId w:val="1"/>
        </w:numPr>
        <w:spacing w:line="560" w:lineRule="exact"/>
        <w:ind w:left="0" w:leftChars="0"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关于融合创新行业项目支撑</w:t>
      </w:r>
    </w:p>
    <w:p w14:paraId="53857742">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4月5日，政企事业部邮件下发了《融合创新行业项目风险防控注意事项》，请各省和集成公司切实把行业发展放在首位，坚持3项原则，严守2条红线，防控好6类风险，做好商机报备、投标报名、风险评估、标书准备等重点环节的工作。后续融合创新行业项目报备支撑首选集成公司行业融合创新中心人员支撑部。</w:t>
      </w:r>
    </w:p>
    <w:p w14:paraId="4D049BD9">
      <w:pPr>
        <w:numPr>
          <w:ilvl w:val="0"/>
          <w:numId w:val="1"/>
        </w:numPr>
        <w:spacing w:line="560" w:lineRule="exact"/>
        <w:ind w:left="0" w:leftChars="0"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关于ZQ采购站客户拓展</w:t>
      </w:r>
    </w:p>
    <w:p w14:paraId="3C7F4FF3">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五大ZQ采购站负责行业项目招标评标，掌握商机多，目前我司均未拓展。请ZQ采购站所在省牵头，联保中心所在省协同，联合拓展采购站客户，掌握组织架构，清晰采购流程，熟悉关键人员，获取重大商机，6月底前完成客户摸排建档。</w:t>
      </w:r>
    </w:p>
    <w:p w14:paraId="750DB003">
      <w:pPr>
        <w:spacing w:line="560" w:lineRule="exact"/>
        <w:ind w:firstLine="643" w:firstLineChars="200"/>
        <w:rPr>
          <w:rFonts w:hint="default" w:ascii="楷体_GB2312" w:hAnsi="黑体" w:eastAsia="楷体_GB2312"/>
          <w:b/>
          <w:bCs/>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三</w:t>
      </w: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金融行业</w:t>
      </w:r>
    </w:p>
    <w:p w14:paraId="64B5A130">
      <w:pPr>
        <w:numPr>
          <w:ilvl w:val="0"/>
          <w:numId w:val="0"/>
        </w:numPr>
        <w:spacing w:line="560" w:lineRule="exact"/>
        <w:ind w:leftChars="200" w:firstLine="321" w:firstLineChars="1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中国人民银行一级办公网主线项目</w:t>
      </w:r>
    </w:p>
    <w:p w14:paraId="6D5C6D85">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lang w:val="en-US" w:eastAsia="zh-CN"/>
        </w:rPr>
      </w:pPr>
      <w:r>
        <w:rPr>
          <w:rFonts w:hint="eastAsia" w:ascii="仿宋_GB2312" w:hAnsi="Calibri" w:eastAsia="仿宋_GB2312" w:cs="Times New Roman"/>
          <w:bCs/>
          <w:color w:val="000000"/>
          <w:sz w:val="32"/>
          <w:szCs w:val="32"/>
          <w:shd w:val="clear" w:color="auto" w:fill="FFFFFF"/>
          <w:lang w:val="en-US" w:eastAsia="zh-CN"/>
        </w:rPr>
        <w:t>2022年1月，中国移动中标中国人民银行一级办公网主线项目，涉及北京总行至31省31条跨省线路，所有节点需要双物理路由接入。目前仅剩上海、沈阳、长春因疫情原因未调测，请在疫情防控允许的范围内，尽快开展调测工作。目前北京、上海、广东广州、吉林长春、广东深圳、内蒙古呼和浩特、黑龙江哈尔滨、天津、贵州贵阳还未达标，请相关同事尽快推动，尽量在割接前双路由接入，需杜绝停滞或放弃的情况，必要时内部升级协调或请省行推动。该项目意义重大，为策反项目，请层层压实责任，落实到人，如有任何问题请务必及时沟通。（金融行业拓展部联系人：蔡佳平，13910058080,caijiaping@chinamobile.com;交付服务部联系人：杨威，13810571657，yangweizq@chinamobile.com；北京公司客户经理：李麒麟，13810254728，liqilin@bj.chinamobile.com）</w:t>
      </w:r>
    </w:p>
    <w:p w14:paraId="37D4AD61">
      <w:pPr>
        <w:spacing w:line="560" w:lineRule="exact"/>
        <w:ind w:firstLine="643" w:firstLineChars="200"/>
        <w:rPr>
          <w:rFonts w:hint="default" w:ascii="楷体_GB2312" w:hAnsi="黑体" w:eastAsia="楷体_GB2312"/>
          <w:b/>
          <w:bCs/>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四</w:t>
      </w: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教育行业</w:t>
      </w:r>
    </w:p>
    <w:p w14:paraId="66C2FD7D">
      <w:pPr>
        <w:spacing w:line="560" w:lineRule="exact"/>
        <w:ind w:firstLine="643" w:firstLineChars="200"/>
        <w:rPr>
          <w:rFonts w:ascii="楷体_GB2312" w:hAnsi="Calibri" w:eastAsia="楷体_GB2312" w:cs="Times New Roman"/>
          <w:b/>
          <w:bCs/>
          <w:color w:val="000000"/>
          <w:sz w:val="32"/>
          <w:szCs w:val="32"/>
          <w:shd w:val="clear" w:color="auto" w:fill="FFFFFF"/>
        </w:rPr>
      </w:pPr>
      <w:r>
        <w:rPr>
          <w:rFonts w:hint="eastAsia" w:ascii="楷体_GB2312" w:hAnsi="Calibri" w:eastAsia="楷体_GB2312" w:cs="Times New Roman"/>
          <w:b/>
          <w:bCs/>
          <w:color w:val="000000"/>
          <w:sz w:val="32"/>
          <w:szCs w:val="32"/>
          <w:shd w:val="clear" w:color="auto" w:fill="FFFFFF"/>
          <w:lang w:val="en-US" w:eastAsia="zh-CN"/>
        </w:rPr>
        <w:t>1、</w:t>
      </w:r>
      <w:r>
        <w:rPr>
          <w:rFonts w:hint="eastAsia" w:ascii="楷体_GB2312" w:hAnsi="Calibri" w:eastAsia="楷体_GB2312" w:cs="Times New Roman"/>
          <w:b/>
          <w:bCs/>
          <w:color w:val="000000"/>
          <w:sz w:val="32"/>
          <w:szCs w:val="32"/>
          <w:shd w:val="clear" w:color="auto" w:fill="FFFFFF"/>
        </w:rPr>
        <w:t>5G云考场</w:t>
      </w:r>
    </w:p>
    <w:p w14:paraId="332C65D9">
      <w:pPr>
        <w:spacing w:line="560" w:lineRule="exact"/>
        <w:ind w:firstLine="640" w:firstLineChars="200"/>
        <w:rPr>
          <w:rFonts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云考场已覆盖全国29省，达成签约近300项，“双一流”院校合作42所，累计签约金额2500万元，同比提升近80%。北京、江苏、云南、安徽、四川5省签约数领先；黑龙江、海南未破零。当下正值研考调剂、高职单招、毕业生招聘就业窗口期，请各省积极对接主管部门，了解各类考试、招聘时间规划及要求，持续扩大云考场落地规模；请成研院、物联网公司持续做好支撑保障，确保各地远程考试顺利开展，切实提升我司口碑形象。（联系人：王甲业，</w:t>
      </w:r>
      <w:r>
        <w:rPr>
          <w:rFonts w:ascii="仿宋_GB2312" w:hAnsi="Calibri" w:eastAsia="仿宋_GB2312" w:cs="Times New Roman"/>
          <w:color w:val="000000"/>
          <w:sz w:val="32"/>
          <w:szCs w:val="32"/>
          <w:shd w:val="clear" w:color="auto" w:fill="FFFFFF"/>
        </w:rPr>
        <w:t>13810297310，wangjiaye@chinamobile.com）</w:t>
      </w:r>
    </w:p>
    <w:p w14:paraId="218788DB">
      <w:pPr>
        <w:spacing w:line="560" w:lineRule="exact"/>
        <w:ind w:firstLine="643" w:firstLineChars="200"/>
        <w:rPr>
          <w:rFonts w:ascii="楷体_GB2312" w:hAnsi="楷体" w:eastAsia="楷体_GB2312" w:cs="宋体"/>
          <w:b/>
          <w:bCs/>
          <w:sz w:val="32"/>
          <w:szCs w:val="32"/>
        </w:rPr>
      </w:pPr>
      <w:r>
        <w:rPr>
          <w:rFonts w:hint="eastAsia" w:ascii="楷体_GB2312" w:hAnsi="楷体" w:eastAsia="楷体_GB2312" w:cs="宋体"/>
          <w:b/>
          <w:bCs/>
          <w:sz w:val="32"/>
          <w:szCs w:val="32"/>
          <w:lang w:val="en-US" w:eastAsia="zh-CN"/>
        </w:rPr>
        <w:t>2、</w:t>
      </w:r>
      <w:r>
        <w:rPr>
          <w:rFonts w:hint="eastAsia" w:ascii="楷体_GB2312" w:hAnsi="楷体" w:eastAsia="楷体_GB2312" w:cs="宋体"/>
          <w:b/>
          <w:bCs/>
          <w:sz w:val="32"/>
          <w:szCs w:val="32"/>
        </w:rPr>
        <w:t>互动学生卡</w:t>
      </w:r>
    </w:p>
    <w:p w14:paraId="6E86453D">
      <w:pPr>
        <w:wordWrap w:val="0"/>
        <w:spacing w:line="560" w:lineRule="exact"/>
        <w:ind w:firstLine="640" w:firstLineChars="200"/>
        <w:rPr>
          <w:rFonts w:ascii="仿宋_GB2312" w:hAnsi="Calibri" w:eastAsia="仿宋_GB2312" w:cs="Times New Roman"/>
          <w:color w:val="000000"/>
          <w:sz w:val="32"/>
          <w:szCs w:val="32"/>
          <w:highlight w:val="none"/>
          <w:shd w:val="clear" w:color="auto" w:fill="FFFFFF"/>
        </w:rPr>
      </w:pPr>
      <w:r>
        <w:rPr>
          <w:rFonts w:hint="eastAsia" w:ascii="仿宋_GB2312" w:hAnsi="Calibri" w:eastAsia="仿宋_GB2312" w:cs="Times New Roman"/>
          <w:color w:val="auto"/>
          <w:sz w:val="32"/>
          <w:szCs w:val="32"/>
          <w:highlight w:val="none"/>
          <w:shd w:val="clear" w:color="auto" w:fill="FFFFFF"/>
        </w:rPr>
        <w:t>我部对接教育部</w:t>
      </w:r>
      <w:r>
        <w:rPr>
          <w:rFonts w:hint="eastAsia" w:ascii="仿宋_GB2312" w:hAnsi="Calibri" w:eastAsia="仿宋_GB2312" w:cs="Times New Roman"/>
          <w:color w:val="auto"/>
          <w:sz w:val="32"/>
          <w:szCs w:val="32"/>
          <w:highlight w:val="none"/>
          <w:shd w:val="clear" w:color="auto" w:fill="FFFFFF"/>
          <w:lang w:eastAsia="zh-CN"/>
        </w:rPr>
        <w:t>，</w:t>
      </w:r>
      <w:r>
        <w:rPr>
          <w:rFonts w:hint="eastAsia" w:ascii="仿宋_GB2312" w:hAnsi="Calibri" w:eastAsia="仿宋_GB2312" w:cs="Times New Roman"/>
          <w:color w:val="auto"/>
          <w:sz w:val="32"/>
          <w:szCs w:val="32"/>
          <w:highlight w:val="none"/>
          <w:shd w:val="clear" w:color="auto" w:fill="FFFFFF"/>
          <w:lang w:val="en-US" w:eastAsia="zh-CN"/>
        </w:rPr>
        <w:t>正在</w:t>
      </w:r>
      <w:r>
        <w:rPr>
          <w:rFonts w:hint="eastAsia" w:ascii="仿宋_GB2312" w:hAnsi="Calibri" w:eastAsia="仿宋_GB2312" w:cs="Times New Roman"/>
          <w:color w:val="auto"/>
          <w:sz w:val="32"/>
          <w:szCs w:val="32"/>
          <w:highlight w:val="none"/>
          <w:shd w:val="clear" w:color="auto" w:fill="FFFFFF"/>
        </w:rPr>
        <w:t>打造</w:t>
      </w:r>
      <w:r>
        <w:rPr>
          <w:rFonts w:hint="eastAsia" w:ascii="仿宋_GB2312" w:hAnsi="Calibri" w:eastAsia="仿宋_GB2312" w:cs="Times New Roman"/>
          <w:color w:val="auto"/>
          <w:sz w:val="32"/>
          <w:szCs w:val="32"/>
          <w:highlight w:val="none"/>
          <w:shd w:val="clear" w:color="auto" w:fill="FFFFFF"/>
          <w:lang w:val="en-US" w:eastAsia="zh-CN"/>
        </w:rPr>
        <w:t>全网</w:t>
      </w:r>
      <w:r>
        <w:rPr>
          <w:rFonts w:hint="eastAsia" w:ascii="仿宋_GB2312" w:hAnsi="Calibri" w:eastAsia="仿宋_GB2312" w:cs="Times New Roman"/>
          <w:color w:val="auto"/>
          <w:sz w:val="32"/>
          <w:szCs w:val="32"/>
          <w:highlight w:val="none"/>
          <w:shd w:val="clear" w:color="auto" w:fill="FFFFFF"/>
        </w:rPr>
        <w:t>电子学生证可信平台，并联合集团市场部明确围绕“萌卡</w:t>
      </w:r>
      <w:r>
        <w:rPr>
          <w:rFonts w:ascii="仿宋_GB2312" w:hAnsi="Calibri" w:eastAsia="仿宋_GB2312" w:cs="Times New Roman"/>
          <w:color w:val="auto"/>
          <w:sz w:val="32"/>
          <w:szCs w:val="32"/>
          <w:highlight w:val="none"/>
          <w:shd w:val="clear" w:color="auto" w:fill="FFFFFF"/>
        </w:rPr>
        <w:t>+电子学生证</w:t>
      </w:r>
      <w:r>
        <w:rPr>
          <w:rFonts w:hint="eastAsia" w:ascii="仿宋_GB2312" w:hAnsi="Calibri" w:eastAsia="仿宋_GB2312" w:cs="Times New Roman"/>
          <w:color w:val="auto"/>
          <w:sz w:val="32"/>
          <w:szCs w:val="32"/>
          <w:highlight w:val="none"/>
          <w:shd w:val="clear" w:color="auto" w:fill="FFFFFF"/>
        </w:rPr>
        <w:t>”</w:t>
      </w:r>
      <w:r>
        <w:rPr>
          <w:rFonts w:ascii="仿宋_GB2312" w:hAnsi="Calibri" w:eastAsia="仿宋_GB2312" w:cs="Times New Roman"/>
          <w:color w:val="auto"/>
          <w:sz w:val="32"/>
          <w:szCs w:val="32"/>
          <w:highlight w:val="none"/>
          <w:shd w:val="clear" w:color="auto" w:fill="FFFFFF"/>
        </w:rPr>
        <w:t>融合产品开展校园市场联合攻坚。请</w:t>
      </w:r>
      <w:r>
        <w:rPr>
          <w:rFonts w:ascii="仿宋_GB2312" w:hAnsi="Calibri" w:eastAsia="仿宋_GB2312" w:cs="Times New Roman"/>
          <w:color w:val="000000"/>
          <w:sz w:val="32"/>
          <w:szCs w:val="32"/>
          <w:highlight w:val="none"/>
          <w:shd w:val="clear" w:color="auto" w:fill="FFFFFF"/>
        </w:rPr>
        <w:t>各省紧抓政企与大市场校园市场联合攻坚契机，发展号卡与互动学生卡融合业务，强化</w:t>
      </w:r>
      <w:r>
        <w:rPr>
          <w:rFonts w:hint="eastAsia" w:ascii="仿宋_GB2312" w:hAnsi="Calibri" w:eastAsia="仿宋_GB2312" w:cs="Times New Roman"/>
          <w:color w:val="000000"/>
          <w:sz w:val="32"/>
          <w:szCs w:val="32"/>
          <w:highlight w:val="none"/>
          <w:shd w:val="clear" w:color="auto" w:fill="FFFFFF"/>
          <w:lang w:val="en-US" w:eastAsia="zh-CN"/>
        </w:rPr>
        <w:t>大市场、政企</w:t>
      </w:r>
      <w:r>
        <w:rPr>
          <w:rFonts w:ascii="仿宋_GB2312" w:hAnsi="Calibri" w:eastAsia="仿宋_GB2312" w:cs="Times New Roman"/>
          <w:color w:val="000000"/>
          <w:sz w:val="32"/>
          <w:szCs w:val="32"/>
          <w:highlight w:val="none"/>
          <w:shd w:val="clear" w:color="auto" w:fill="FFFFFF"/>
        </w:rPr>
        <w:t>协同，加快学生卡业务规模发展。请成研院协同终端公司于5月中旬确定电子学生证终端联合建设方案。</w:t>
      </w:r>
      <w:r>
        <w:rPr>
          <w:rFonts w:hint="eastAsia" w:ascii="仿宋_GB2312" w:hAnsi="Calibri" w:eastAsia="仿宋_GB2312" w:cs="Times New Roman"/>
          <w:color w:val="000000"/>
          <w:sz w:val="32"/>
          <w:szCs w:val="32"/>
          <w:highlight w:val="none"/>
          <w:shd w:val="clear" w:color="auto" w:fill="FFFFFF"/>
        </w:rPr>
        <w:t>（联系人：罗娜，</w:t>
      </w:r>
      <w:r>
        <w:rPr>
          <w:rFonts w:ascii="仿宋_GB2312" w:hAnsi="Calibri" w:eastAsia="仿宋_GB2312" w:cs="Times New Roman"/>
          <w:color w:val="000000"/>
          <w:sz w:val="32"/>
          <w:szCs w:val="32"/>
          <w:highlight w:val="none"/>
          <w:shd w:val="clear" w:color="auto" w:fill="FFFFFF"/>
        </w:rPr>
        <w:t>13810918564，luona@chinamobile.com；董美秀，13910043152，dongmeixiu@chinamobile.com）</w:t>
      </w:r>
    </w:p>
    <w:p w14:paraId="7C731F26">
      <w:pPr>
        <w:spacing w:line="560" w:lineRule="exact"/>
        <w:ind w:firstLine="643" w:firstLineChars="200"/>
        <w:rPr>
          <w:rFonts w:ascii="楷体_GB2312" w:hAnsi="楷体" w:eastAsia="楷体_GB2312" w:cs="宋体"/>
          <w:b/>
          <w:bCs/>
          <w:sz w:val="32"/>
          <w:szCs w:val="32"/>
        </w:rPr>
      </w:pPr>
      <w:r>
        <w:rPr>
          <w:rFonts w:hint="eastAsia" w:ascii="楷体_GB2312" w:hAnsi="楷体" w:eastAsia="楷体_GB2312" w:cs="宋体"/>
          <w:b/>
          <w:bCs/>
          <w:sz w:val="32"/>
          <w:szCs w:val="32"/>
          <w:lang w:val="en-US" w:eastAsia="zh-CN"/>
        </w:rPr>
        <w:t>3、</w:t>
      </w:r>
      <w:r>
        <w:rPr>
          <w:rFonts w:hint="eastAsia" w:ascii="楷体_GB2312" w:hAnsi="楷体" w:eastAsia="楷体_GB2312" w:cs="宋体"/>
          <w:b/>
          <w:bCs/>
          <w:sz w:val="32"/>
          <w:szCs w:val="32"/>
        </w:rPr>
        <w:t>高考王者</w:t>
      </w:r>
    </w:p>
    <w:p w14:paraId="7751423C">
      <w:pPr>
        <w:wordWrap w:val="0"/>
        <w:spacing w:line="560" w:lineRule="exact"/>
        <w:ind w:firstLine="640" w:firstLineChars="200"/>
        <w:rPr>
          <w:rFonts w:ascii="仿宋_GB2312" w:hAnsi="Calibri" w:eastAsia="仿宋_GB2312" w:cs="Times New Roman"/>
          <w:color w:val="auto"/>
          <w:sz w:val="32"/>
          <w:szCs w:val="32"/>
          <w:shd w:val="clear" w:color="auto" w:fill="FFFFFF"/>
        </w:rPr>
      </w:pPr>
      <w:r>
        <w:rPr>
          <w:rFonts w:hint="eastAsia" w:ascii="仿宋_GB2312" w:hAnsi="Calibri" w:eastAsia="仿宋_GB2312" w:cs="Times New Roman"/>
          <w:color w:val="auto"/>
          <w:sz w:val="32"/>
          <w:szCs w:val="32"/>
          <w:shd w:val="clear" w:color="auto" w:fill="FFFFFF"/>
          <w:lang w:val="en-US" w:eastAsia="zh-CN"/>
        </w:rPr>
        <w:t>高考王者已完成</w:t>
      </w:r>
      <w:r>
        <w:rPr>
          <w:rFonts w:hint="eastAsia" w:ascii="仿宋_GB2312" w:hAnsi="Calibri" w:eastAsia="仿宋_GB2312" w:cs="Times New Roman"/>
          <w:color w:val="auto"/>
          <w:sz w:val="32"/>
          <w:szCs w:val="32"/>
          <w:shd w:val="clear" w:color="auto" w:fill="FFFFFF"/>
        </w:rPr>
        <w:t>志愿填报专业</w:t>
      </w:r>
      <w:r>
        <w:rPr>
          <w:rFonts w:hint="eastAsia" w:ascii="仿宋_GB2312" w:hAnsi="Calibri" w:eastAsia="仿宋_GB2312" w:cs="Times New Roman"/>
          <w:color w:val="auto"/>
          <w:sz w:val="32"/>
          <w:szCs w:val="32"/>
          <w:shd w:val="clear" w:color="auto" w:fill="FFFFFF"/>
          <w:lang w:val="en-US" w:eastAsia="zh-CN"/>
        </w:rPr>
        <w:t>版资费审批与业务上线</w:t>
      </w:r>
      <w:r>
        <w:rPr>
          <w:rFonts w:hint="eastAsia" w:ascii="仿宋_GB2312" w:hAnsi="Calibri" w:eastAsia="仿宋_GB2312" w:cs="Times New Roman"/>
          <w:color w:val="auto"/>
          <w:sz w:val="32"/>
          <w:szCs w:val="32"/>
          <w:shd w:val="clear" w:color="auto" w:fill="FFFFFF"/>
        </w:rPr>
        <w:t>，包含一键填报、志愿表和志愿解读等功能，</w:t>
      </w:r>
      <w:r>
        <w:rPr>
          <w:rFonts w:hint="eastAsia" w:ascii="仿宋_GB2312" w:hAnsi="Calibri" w:eastAsia="仿宋_GB2312" w:cs="Times New Roman"/>
          <w:color w:val="auto"/>
          <w:sz w:val="32"/>
          <w:szCs w:val="32"/>
          <w:shd w:val="clear" w:color="auto" w:fill="FFFFFF"/>
          <w:lang w:val="en-US" w:eastAsia="zh-CN"/>
        </w:rPr>
        <w:t>大幅提升用户使用体验，现正对接集团市场部推进大市场线条的整体部署</w:t>
      </w:r>
      <w:r>
        <w:rPr>
          <w:rFonts w:hint="eastAsia" w:ascii="仿宋_GB2312" w:hAnsi="Calibri" w:eastAsia="仿宋_GB2312" w:cs="Times New Roman"/>
          <w:color w:val="auto"/>
          <w:sz w:val="32"/>
          <w:szCs w:val="32"/>
          <w:shd w:val="clear" w:color="auto" w:fill="FFFFFF"/>
        </w:rPr>
        <w:t>。请各省</w:t>
      </w:r>
      <w:r>
        <w:rPr>
          <w:rFonts w:hint="eastAsia" w:ascii="仿宋_GB2312" w:hAnsi="Calibri" w:eastAsia="仿宋_GB2312" w:cs="Times New Roman"/>
          <w:color w:val="auto"/>
          <w:sz w:val="32"/>
          <w:szCs w:val="32"/>
          <w:shd w:val="clear" w:color="auto" w:fill="FFFFFF"/>
          <w:lang w:val="en-US" w:eastAsia="zh-CN"/>
        </w:rPr>
        <w:t>紧盯</w:t>
      </w:r>
      <w:r>
        <w:rPr>
          <w:rFonts w:hint="eastAsia" w:ascii="仿宋_GB2312" w:hAnsi="Calibri" w:eastAsia="仿宋_GB2312" w:cs="Times New Roman"/>
          <w:color w:val="auto"/>
          <w:sz w:val="32"/>
          <w:szCs w:val="32"/>
          <w:shd w:val="clear" w:color="auto" w:fill="FFFFFF"/>
        </w:rPr>
        <w:t>高考季营销节点，以</w:t>
      </w:r>
      <w:r>
        <w:rPr>
          <w:rFonts w:hint="eastAsia" w:ascii="仿宋_GB2312" w:hAnsi="Calibri" w:eastAsia="仿宋_GB2312" w:cs="Times New Roman"/>
          <w:color w:val="auto"/>
          <w:sz w:val="32"/>
          <w:szCs w:val="32"/>
          <w:shd w:val="clear" w:color="auto" w:fill="FFFFFF"/>
          <w:lang w:eastAsia="zh-CN"/>
        </w:rPr>
        <w:t>“</w:t>
      </w:r>
      <w:r>
        <w:rPr>
          <w:rFonts w:hint="eastAsia" w:ascii="仿宋_GB2312" w:hAnsi="Calibri" w:eastAsia="仿宋_GB2312" w:cs="Times New Roman"/>
          <w:color w:val="auto"/>
          <w:sz w:val="32"/>
          <w:szCs w:val="32"/>
          <w:shd w:val="clear" w:color="auto" w:fill="FFFFFF"/>
          <w:lang w:val="en-US" w:eastAsia="zh-CN"/>
        </w:rPr>
        <w:t>互动学生卡+高考王者</w:t>
      </w:r>
      <w:r>
        <w:rPr>
          <w:rFonts w:hint="eastAsia" w:ascii="仿宋_GB2312" w:hAnsi="Calibri" w:eastAsia="仿宋_GB2312" w:cs="Times New Roman"/>
          <w:color w:val="auto"/>
          <w:sz w:val="32"/>
          <w:szCs w:val="32"/>
          <w:shd w:val="clear" w:color="auto" w:fill="FFFFFF"/>
          <w:lang w:eastAsia="zh-CN"/>
        </w:rPr>
        <w:t>”</w:t>
      </w:r>
      <w:r>
        <w:rPr>
          <w:rFonts w:hint="eastAsia" w:ascii="仿宋_GB2312" w:hAnsi="Calibri" w:eastAsia="仿宋_GB2312" w:cs="Times New Roman"/>
          <w:color w:val="auto"/>
          <w:sz w:val="32"/>
          <w:szCs w:val="32"/>
          <w:shd w:val="clear" w:color="auto" w:fill="FFFFFF"/>
        </w:rPr>
        <w:t>为抓手做好营销筹备，5月15日前</w:t>
      </w:r>
      <w:r>
        <w:rPr>
          <w:rFonts w:hint="eastAsia" w:ascii="仿宋_GB2312" w:hAnsi="Calibri" w:eastAsia="仿宋_GB2312" w:cs="Times New Roman"/>
          <w:color w:val="auto"/>
          <w:sz w:val="32"/>
          <w:szCs w:val="32"/>
          <w:shd w:val="clear" w:color="auto" w:fill="FFFFFF"/>
          <w:lang w:val="en-US" w:eastAsia="zh-CN"/>
        </w:rPr>
        <w:t>制定</w:t>
      </w:r>
      <w:r>
        <w:rPr>
          <w:rFonts w:hint="eastAsia" w:ascii="仿宋_GB2312" w:hAnsi="Calibri" w:eastAsia="仿宋_GB2312" w:cs="Times New Roman"/>
          <w:color w:val="auto"/>
          <w:sz w:val="32"/>
          <w:szCs w:val="32"/>
          <w:shd w:val="clear" w:color="auto" w:fill="FFFFFF"/>
        </w:rPr>
        <w:t>省内营销方案并上报事业部接口人，方案包含但不限于：一是</w:t>
      </w:r>
      <w:r>
        <w:rPr>
          <w:rFonts w:hint="eastAsia" w:ascii="仿宋_GB2312" w:hAnsi="Calibri" w:eastAsia="仿宋_GB2312" w:cs="Times New Roman"/>
          <w:color w:val="auto"/>
          <w:sz w:val="32"/>
          <w:szCs w:val="32"/>
          <w:shd w:val="clear" w:color="auto" w:fill="FFFFFF"/>
          <w:lang w:val="en-US" w:eastAsia="zh-CN"/>
        </w:rPr>
        <w:t>产品设计，</w:t>
      </w:r>
      <w:r>
        <w:rPr>
          <w:rFonts w:hint="eastAsia" w:ascii="仿宋_GB2312" w:hAnsi="Calibri" w:eastAsia="仿宋_GB2312" w:cs="Times New Roman"/>
          <w:color w:val="auto"/>
          <w:sz w:val="32"/>
          <w:szCs w:val="32"/>
          <w:shd w:val="clear" w:color="auto" w:fill="FFFFFF"/>
        </w:rPr>
        <w:t>打造涵盖语音、流量与高考王者的融合产品；</w:t>
      </w:r>
      <w:r>
        <w:rPr>
          <w:rFonts w:hint="eastAsia" w:ascii="仿宋_GB2312" w:hAnsi="Calibri" w:eastAsia="仿宋_GB2312" w:cs="Times New Roman"/>
          <w:color w:val="auto"/>
          <w:sz w:val="32"/>
          <w:szCs w:val="32"/>
          <w:shd w:val="clear" w:color="auto" w:fill="FFFFFF"/>
          <w:lang w:val="en-US" w:eastAsia="zh-CN"/>
        </w:rPr>
        <w:t>二</w:t>
      </w:r>
      <w:r>
        <w:rPr>
          <w:rFonts w:hint="eastAsia" w:ascii="仿宋_GB2312" w:hAnsi="Calibri" w:eastAsia="仿宋_GB2312" w:cs="Times New Roman"/>
          <w:color w:val="auto"/>
          <w:sz w:val="32"/>
          <w:szCs w:val="32"/>
          <w:shd w:val="clear" w:color="auto" w:fill="FFFFFF"/>
        </w:rPr>
        <w:t>是</w:t>
      </w:r>
      <w:r>
        <w:rPr>
          <w:rFonts w:hint="eastAsia" w:ascii="仿宋_GB2312" w:hAnsi="Calibri" w:eastAsia="仿宋_GB2312" w:cs="Times New Roman"/>
          <w:color w:val="auto"/>
          <w:sz w:val="32"/>
          <w:szCs w:val="32"/>
          <w:shd w:val="clear" w:color="auto" w:fill="FFFFFF"/>
          <w:lang w:val="en-US" w:eastAsia="zh-CN"/>
        </w:rPr>
        <w:t>营销组织</w:t>
      </w:r>
      <w:r>
        <w:rPr>
          <w:rFonts w:hint="eastAsia" w:ascii="仿宋_GB2312" w:hAnsi="Calibri" w:eastAsia="仿宋_GB2312" w:cs="Times New Roman"/>
          <w:color w:val="auto"/>
          <w:sz w:val="32"/>
          <w:szCs w:val="32"/>
          <w:shd w:val="clear" w:color="auto" w:fill="FFFFFF"/>
        </w:rPr>
        <w:t>，</w:t>
      </w:r>
      <w:r>
        <w:rPr>
          <w:rFonts w:hint="eastAsia" w:ascii="仿宋_GB2312" w:hAnsi="Calibri" w:eastAsia="仿宋_GB2312" w:cs="Times New Roman"/>
          <w:color w:val="auto"/>
          <w:sz w:val="32"/>
          <w:szCs w:val="32"/>
          <w:shd w:val="clear" w:color="auto" w:fill="FFFFFF"/>
          <w:lang w:val="en-US" w:eastAsia="zh-CN"/>
        </w:rPr>
        <w:t>安排</w:t>
      </w:r>
      <w:r>
        <w:rPr>
          <w:rFonts w:hint="eastAsia" w:ascii="仿宋_GB2312" w:hAnsi="Calibri" w:eastAsia="仿宋_GB2312" w:cs="Times New Roman"/>
          <w:color w:val="auto"/>
          <w:sz w:val="32"/>
          <w:szCs w:val="32"/>
          <w:shd w:val="clear" w:color="auto" w:fill="FFFFFF"/>
        </w:rPr>
        <w:t>客户经理做好关键客户拜访，渠道</w:t>
      </w:r>
      <w:r>
        <w:rPr>
          <w:rFonts w:hint="eastAsia" w:ascii="仿宋_GB2312" w:hAnsi="Calibri" w:eastAsia="仿宋_GB2312" w:cs="Times New Roman"/>
          <w:color w:val="auto"/>
          <w:sz w:val="32"/>
          <w:szCs w:val="32"/>
          <w:shd w:val="clear" w:color="auto" w:fill="FFFFFF"/>
          <w:lang w:val="en-US" w:eastAsia="zh-CN"/>
        </w:rPr>
        <w:t>网格配合阵地营销；三</w:t>
      </w:r>
      <w:r>
        <w:rPr>
          <w:rFonts w:hint="eastAsia" w:ascii="仿宋_GB2312" w:hAnsi="Calibri" w:eastAsia="仿宋_GB2312" w:cs="Times New Roman"/>
          <w:color w:val="auto"/>
          <w:sz w:val="32"/>
          <w:szCs w:val="32"/>
          <w:shd w:val="clear" w:color="auto" w:fill="FFFFFF"/>
        </w:rPr>
        <w:t>是宣传</w:t>
      </w:r>
      <w:r>
        <w:rPr>
          <w:rFonts w:hint="eastAsia" w:ascii="仿宋_GB2312" w:hAnsi="Calibri" w:eastAsia="仿宋_GB2312" w:cs="Times New Roman"/>
          <w:color w:val="auto"/>
          <w:sz w:val="32"/>
          <w:szCs w:val="32"/>
          <w:shd w:val="clear" w:color="auto" w:fill="FFFFFF"/>
          <w:lang w:val="en-US" w:eastAsia="zh-CN"/>
        </w:rPr>
        <w:t>统筹</w:t>
      </w:r>
      <w:r>
        <w:rPr>
          <w:rFonts w:hint="eastAsia" w:ascii="仿宋_GB2312" w:hAnsi="Calibri" w:eastAsia="仿宋_GB2312" w:cs="Times New Roman"/>
          <w:color w:val="auto"/>
          <w:sz w:val="32"/>
          <w:szCs w:val="32"/>
          <w:shd w:val="clear" w:color="auto" w:fill="FFFFFF"/>
        </w:rPr>
        <w:t>，</w:t>
      </w:r>
      <w:r>
        <w:rPr>
          <w:rFonts w:hint="eastAsia" w:ascii="仿宋_GB2312" w:hAnsi="Calibri" w:eastAsia="仿宋_GB2312" w:cs="Times New Roman"/>
          <w:color w:val="auto"/>
          <w:sz w:val="32"/>
          <w:szCs w:val="32"/>
          <w:shd w:val="clear" w:color="auto" w:fill="FFFFFF"/>
          <w:lang w:val="en-US" w:eastAsia="zh-CN"/>
        </w:rPr>
        <w:t>制定高考季线上、线下整体宣传计划</w:t>
      </w:r>
      <w:r>
        <w:rPr>
          <w:rFonts w:hint="eastAsia" w:ascii="仿宋_GB2312" w:hAnsi="Calibri" w:eastAsia="仿宋_GB2312" w:cs="Times New Roman"/>
          <w:color w:val="auto"/>
          <w:sz w:val="32"/>
          <w:szCs w:val="32"/>
          <w:shd w:val="clear" w:color="auto" w:fill="FFFFFF"/>
        </w:rPr>
        <w:t>。（联系人：黄雪伟，13911518637，</w:t>
      </w:r>
      <w:r>
        <w:rPr>
          <w:rFonts w:ascii="等线" w:hAnsi="等线" w:eastAsia="等线" w:cs="Times New Roman"/>
          <w:color w:val="auto"/>
        </w:rPr>
        <w:fldChar w:fldCharType="begin"/>
      </w:r>
      <w:r>
        <w:rPr>
          <w:rFonts w:ascii="等线" w:hAnsi="等线" w:eastAsia="等线" w:cs="Times New Roman"/>
          <w:color w:val="auto"/>
        </w:rPr>
        <w:instrText xml:space="preserve"> HYPERLINK "mailto:jiazhongling@chinamobile.com" </w:instrText>
      </w:r>
      <w:r>
        <w:rPr>
          <w:rFonts w:ascii="等线" w:hAnsi="等线" w:eastAsia="等线" w:cs="Times New Roman"/>
          <w:color w:val="auto"/>
        </w:rPr>
        <w:fldChar w:fldCharType="separate"/>
      </w:r>
      <w:r>
        <w:rPr>
          <w:rFonts w:hint="eastAsia" w:ascii="仿宋_GB2312" w:hAnsi="Calibri" w:eastAsia="仿宋_GB2312" w:cs="Times New Roman"/>
          <w:color w:val="auto"/>
          <w:sz w:val="32"/>
          <w:szCs w:val="32"/>
          <w:shd w:val="clear" w:color="auto" w:fill="FFFFFF"/>
        </w:rPr>
        <w:t>huangxuewei@chinamobile.com</w:t>
      </w:r>
      <w:r>
        <w:rPr>
          <w:rFonts w:hint="eastAsia" w:ascii="仿宋_GB2312" w:hAnsi="Calibri" w:eastAsia="仿宋_GB2312" w:cs="Times New Roman"/>
          <w:color w:val="auto"/>
          <w:sz w:val="32"/>
          <w:szCs w:val="32"/>
          <w:shd w:val="clear" w:color="auto" w:fill="FFFFFF"/>
        </w:rPr>
        <w:fldChar w:fldCharType="end"/>
      </w:r>
      <w:r>
        <w:rPr>
          <w:rFonts w:ascii="仿宋_GB2312" w:hAnsi="Calibri" w:eastAsia="仿宋_GB2312" w:cs="Times New Roman"/>
          <w:color w:val="auto"/>
          <w:sz w:val="32"/>
          <w:szCs w:val="32"/>
          <w:shd w:val="clear" w:color="auto" w:fill="FFFFFF"/>
        </w:rPr>
        <w:t>）</w:t>
      </w:r>
    </w:p>
    <w:p w14:paraId="045EE8C1">
      <w:pPr>
        <w:spacing w:line="560" w:lineRule="exact"/>
        <w:ind w:firstLine="643" w:firstLineChars="200"/>
        <w:rPr>
          <w:rFonts w:ascii="楷体_GB2312" w:hAnsi="楷体" w:eastAsia="楷体_GB2312" w:cs="宋体"/>
          <w:b/>
          <w:bCs/>
          <w:color w:val="auto"/>
          <w:sz w:val="32"/>
          <w:szCs w:val="32"/>
        </w:rPr>
      </w:pPr>
      <w:r>
        <w:rPr>
          <w:rFonts w:hint="eastAsia" w:ascii="楷体_GB2312" w:hAnsi="楷体" w:eastAsia="楷体_GB2312" w:cs="宋体"/>
          <w:b/>
          <w:bCs/>
          <w:color w:val="auto"/>
          <w:sz w:val="32"/>
          <w:szCs w:val="32"/>
          <w:lang w:val="en-US" w:eastAsia="zh-CN"/>
        </w:rPr>
        <w:t>4、</w:t>
      </w:r>
      <w:r>
        <w:rPr>
          <w:rFonts w:hint="eastAsia" w:ascii="楷体_GB2312" w:hAnsi="楷体" w:eastAsia="楷体_GB2312" w:cs="宋体"/>
          <w:b/>
          <w:bCs/>
          <w:color w:val="auto"/>
          <w:sz w:val="32"/>
          <w:szCs w:val="32"/>
        </w:rPr>
        <w:t>乡村振兴智慧校园拓展</w:t>
      </w:r>
    </w:p>
    <w:p w14:paraId="02B423A8">
      <w:pPr>
        <w:wordWrap w:val="0"/>
        <w:spacing w:line="560" w:lineRule="exact"/>
        <w:ind w:firstLine="640" w:firstLineChars="200"/>
        <w:rPr>
          <w:rFonts w:hint="eastAsia" w:ascii="楷体_GB2312" w:hAnsi="黑体" w:eastAsia="楷体_GB2312"/>
          <w:b/>
          <w:bCs/>
          <w:sz w:val="32"/>
          <w:szCs w:val="32"/>
          <w:lang w:eastAsia="zh-CN"/>
        </w:rPr>
      </w:pPr>
      <w:r>
        <w:rPr>
          <w:rFonts w:hint="eastAsia" w:ascii="仿宋_GB2312" w:hAnsi="Calibri" w:eastAsia="仿宋_GB2312" w:cs="Times New Roman"/>
          <w:color w:val="auto"/>
          <w:sz w:val="32"/>
          <w:szCs w:val="32"/>
          <w:shd w:val="clear" w:color="auto" w:fill="FFFFFF"/>
        </w:rPr>
        <w:t>截至3月，乡村振兴智慧校园新增136所，指标进度13.6%，落后11.4pp，仅河南、甘肃有新</w:t>
      </w:r>
      <w:r>
        <w:rPr>
          <w:rFonts w:hint="eastAsia" w:ascii="仿宋_GB2312" w:hAnsi="Calibri" w:eastAsia="仿宋_GB2312" w:cs="Times New Roman"/>
          <w:color w:val="000000"/>
          <w:sz w:val="32"/>
          <w:szCs w:val="32"/>
          <w:shd w:val="clear" w:color="auto" w:fill="FFFFFF"/>
        </w:rPr>
        <w:t>增。请各省落实拓展动作，5月底前追齐进度，一是</w:t>
      </w:r>
      <w:r>
        <w:rPr>
          <w:rFonts w:hint="eastAsia" w:ascii="仿宋_GB2312" w:hAnsi="等线" w:eastAsia="仿宋_GB2312" w:cs="Times New Roman"/>
          <w:sz w:val="32"/>
          <w:szCs w:val="32"/>
        </w:rPr>
        <w:t>推动自建平台与成研智慧校园对接流程打通，</w:t>
      </w:r>
      <w:r>
        <w:rPr>
          <w:rFonts w:hint="eastAsia" w:ascii="仿宋_GB2312" w:hAnsi="Calibri" w:eastAsia="仿宋_GB2312" w:cs="Times New Roman"/>
          <w:color w:val="000000"/>
          <w:sz w:val="32"/>
          <w:szCs w:val="32"/>
          <w:shd w:val="clear" w:color="auto" w:fill="FFFFFF"/>
        </w:rPr>
        <w:t>6月底前在贵州试点先行落地；二是打造标杆案例，</w:t>
      </w:r>
      <w:r>
        <w:rPr>
          <w:rFonts w:hint="eastAsia" w:ascii="仿宋_GB2312" w:hAnsi="等线" w:eastAsia="仿宋_GB2312" w:cs="Times New Roman"/>
          <w:sz w:val="32"/>
          <w:szCs w:val="32"/>
        </w:rPr>
        <w:t>建立台账按月督进</w:t>
      </w:r>
      <w:r>
        <w:rPr>
          <w:rFonts w:hint="eastAsia" w:ascii="仿宋_GB2312" w:hAnsi="Calibri" w:eastAsia="仿宋_GB2312" w:cs="Times New Roman"/>
          <w:color w:val="000000"/>
          <w:sz w:val="32"/>
          <w:szCs w:val="32"/>
          <w:shd w:val="clear" w:color="auto" w:fill="FFFFFF"/>
        </w:rPr>
        <w:t>。</w:t>
      </w:r>
      <w:r>
        <w:rPr>
          <w:rFonts w:ascii="仿宋_GB2312" w:hAnsi="Calibri" w:eastAsia="仿宋_GB2312" w:cs="Times New Roman"/>
          <w:color w:val="000000"/>
          <w:sz w:val="32"/>
          <w:szCs w:val="32"/>
          <w:shd w:val="clear" w:color="auto" w:fill="FFFFFF"/>
        </w:rPr>
        <w:t>请成研院</w:t>
      </w:r>
      <w:r>
        <w:rPr>
          <w:rFonts w:hint="eastAsia" w:ascii="仿宋_GB2312" w:hAnsi="Calibri" w:eastAsia="仿宋_GB2312" w:cs="Times New Roman"/>
          <w:color w:val="000000"/>
          <w:sz w:val="32"/>
          <w:szCs w:val="32"/>
          <w:shd w:val="clear" w:color="auto" w:fill="FFFFFF"/>
        </w:rPr>
        <w:t>配合</w:t>
      </w:r>
      <w:r>
        <w:rPr>
          <w:rFonts w:ascii="仿宋_GB2312" w:hAnsi="Calibri" w:eastAsia="仿宋_GB2312" w:cs="Times New Roman"/>
          <w:color w:val="000000"/>
          <w:sz w:val="32"/>
          <w:szCs w:val="32"/>
          <w:shd w:val="clear" w:color="auto" w:fill="FFFFFF"/>
        </w:rPr>
        <w:t>做好跟进</w:t>
      </w:r>
      <w:r>
        <w:rPr>
          <w:rFonts w:hint="eastAsia" w:ascii="仿宋_GB2312" w:hAnsi="Calibri" w:eastAsia="仿宋_GB2312" w:cs="Times New Roman"/>
          <w:color w:val="000000"/>
          <w:sz w:val="32"/>
          <w:szCs w:val="32"/>
          <w:shd w:val="clear" w:color="auto" w:fill="FFFFFF"/>
        </w:rPr>
        <w:t>对接。（联系人：陈应宇，13910104015，</w:t>
      </w:r>
      <w:r>
        <w:rPr>
          <w:rFonts w:ascii="等线" w:hAnsi="等线" w:eastAsia="等线" w:cs="Times New Roman"/>
        </w:rPr>
        <w:fldChar w:fldCharType="begin"/>
      </w:r>
      <w:r>
        <w:rPr>
          <w:rFonts w:ascii="等线" w:hAnsi="等线" w:eastAsia="等线" w:cs="Times New Roman"/>
        </w:rPr>
        <w:instrText xml:space="preserve"> HYPERLINK "mailto:jiazhongling@chinamobile.com" </w:instrText>
      </w:r>
      <w:r>
        <w:rPr>
          <w:rFonts w:ascii="等线" w:hAnsi="等线" w:eastAsia="等线" w:cs="Times New Roman"/>
        </w:rPr>
        <w:fldChar w:fldCharType="separate"/>
      </w:r>
      <w:r>
        <w:rPr>
          <w:rFonts w:hint="eastAsia" w:ascii="仿宋_GB2312" w:hAnsi="Calibri" w:eastAsia="仿宋_GB2312" w:cs="Times New Roman"/>
          <w:color w:val="000000"/>
          <w:sz w:val="32"/>
          <w:szCs w:val="32"/>
          <w:shd w:val="clear" w:color="auto" w:fill="FFFFFF"/>
        </w:rPr>
        <w:t>chenyingyu@chinamobile.com</w:t>
      </w:r>
      <w:r>
        <w:rPr>
          <w:rFonts w:hint="eastAsia" w:ascii="仿宋_GB2312" w:hAnsi="Calibri" w:eastAsia="仿宋_GB2312" w:cs="Times New Roman"/>
          <w:color w:val="000000"/>
          <w:sz w:val="32"/>
          <w:szCs w:val="32"/>
          <w:shd w:val="clear" w:color="auto" w:fill="FFFFFF"/>
        </w:rPr>
        <w:fldChar w:fldCharType="end"/>
      </w:r>
      <w:r>
        <w:rPr>
          <w:rFonts w:ascii="仿宋_GB2312" w:hAnsi="Calibri" w:eastAsia="仿宋_GB2312" w:cs="Times New Roman"/>
          <w:color w:val="000000"/>
          <w:sz w:val="32"/>
          <w:szCs w:val="32"/>
          <w:shd w:val="clear" w:color="auto" w:fill="FFFFFF"/>
        </w:rPr>
        <w:t>）</w:t>
      </w:r>
    </w:p>
    <w:p w14:paraId="39561185">
      <w:pPr>
        <w:spacing w:line="560" w:lineRule="exact"/>
        <w:ind w:firstLine="643" w:firstLineChars="200"/>
        <w:rPr>
          <w:rFonts w:hint="eastAsia" w:ascii="仿宋_GB2312" w:hAnsi="Calibri" w:eastAsia="仿宋_GB2312" w:cs="Times New Roman"/>
          <w:bCs/>
          <w:color w:val="000000"/>
          <w:sz w:val="32"/>
          <w:szCs w:val="32"/>
          <w:shd w:val="clear" w:color="auto" w:fill="FFFFFF"/>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五</w:t>
      </w: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工业能源</w:t>
      </w:r>
      <w:r>
        <w:rPr>
          <w:rFonts w:hint="eastAsia" w:ascii="楷体_GB2312" w:hAnsi="黑体" w:eastAsia="楷体_GB2312"/>
          <w:b/>
          <w:bCs/>
          <w:sz w:val="32"/>
          <w:szCs w:val="32"/>
          <w:lang w:eastAsia="zh-CN"/>
        </w:rPr>
        <w:t>行业</w:t>
      </w:r>
    </w:p>
    <w:p w14:paraId="00753097">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国家电投集团广域网链路（A平面）租用服务项目</w:t>
      </w:r>
    </w:p>
    <w:p w14:paraId="53CA5839">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3月，我公司与国家电力投资集团有限公司签署广域网链路（A平面）租用服务框架协议书补充协议，包含跨省和本地数据链路，预计带动全网收入2000万元/年。该项目前期由政企事业部统筹，负责框架协议签约。请各省公司与国家电投集团各单位、下属公司及分支机构取得联系并开展相关合作洽谈及落地。（联系人：崔旭升，13683187148，cuixusheng@chinamobile.com）</w:t>
      </w:r>
    </w:p>
    <w:p w14:paraId="081944F0">
      <w:pPr>
        <w:numPr>
          <w:ilvl w:val="0"/>
          <w:numId w:val="2"/>
        </w:num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rPr>
        <w:t>中核5G核心网及5G无线网络咨询项目</w:t>
      </w:r>
    </w:p>
    <w:p w14:paraId="703EE2D6">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中国移动政企事业部联合研究院、北京移动、中移数智成功拓展了中核5G核心网咨询项目和中核5G无线网络咨询项目，合计中标金额133万元，该项目是前期政省专协同下沉核电厂支撑的成果，也是中移数智公司成立以来的第一个重大项目，对于奠定我公司在核能领域的5G领先优势具有重大意义，并将直接牵引和指导后续中核集团数亿元的5G专网项目的签约落地。请北京移动做好项目签约及交付管理工作，请研究院及中移数智公司做好咨询项目支撑工作，请江苏公司、浙江公司、福建公司、海南公司积极反馈核电项目一线诉求，并配合本地客户积极开展以上两个咨询项目的技术和业务论证工作，请上海产业研究院配合相关省做好5G应用技术交流。（联系人：党俊武，13910925332，dangjunwu@chinamobile.com）</w:t>
      </w:r>
    </w:p>
    <w:p w14:paraId="441D2F78">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3、</w:t>
      </w:r>
      <w:r>
        <w:rPr>
          <w:rFonts w:hint="eastAsia" w:ascii="仿宋_GB2312" w:hAnsi="Calibri" w:eastAsia="仿宋_GB2312" w:cs="Times New Roman"/>
          <w:b/>
          <w:bCs w:val="0"/>
          <w:color w:val="000000"/>
          <w:sz w:val="32"/>
          <w:szCs w:val="32"/>
          <w:shd w:val="clear" w:color="auto" w:fill="FFFFFF"/>
        </w:rPr>
        <w:t>省公司优秀案例：智慧工厂行业签约宁德时代跨省5G专网项目大单</w:t>
      </w:r>
    </w:p>
    <w:p w14:paraId="24594AFD">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宁德时代是全球动力电池产业销量冠军，福建宁德公司自2021年起积极跟进客户信息化需求，借助“管战建”协同机制，成功于3月完成一期项目签约，建设内容包括宁德时代全国6省（涉及福建、江苏、四川、广东、上海、青海）40个厂区的5G专网覆盖，总面积近500万平方米，签约金额近5000万元。该项目建成后将成为目前全国最大的企业5G专网，且在多方面树立标杆效应。在流程方面，该项目以省间合作方式开展，通过实践落地“三级支撑体系”，先行探索5G跨省专网项目流程；在技术方面，该项目深入探索5G专网2.0新能力体系，为我司首例开展的UPF风筝方案商用试点，落地物联网公司OneCyber专网运营平台；在商务方面，与客户长效规划超20项5G应用场景合作方向，未来预计带动数万个5G连接终端。（联系人：</w:t>
      </w:r>
      <w:r>
        <w:rPr>
          <w:rFonts w:hint="eastAsia" w:ascii="仿宋_GB2312" w:hAnsi="Calibri" w:eastAsia="仿宋_GB2312" w:cs="Times New Roman"/>
          <w:bCs/>
          <w:color w:val="000000"/>
          <w:sz w:val="32"/>
          <w:szCs w:val="32"/>
          <w:shd w:val="clear" w:color="auto" w:fill="FFFFFF"/>
        </w:rPr>
        <w:fldChar w:fldCharType="begin"/>
      </w:r>
      <w:r>
        <w:rPr>
          <w:rFonts w:hint="eastAsia" w:ascii="仿宋_GB2312" w:hAnsi="Calibri" w:eastAsia="仿宋_GB2312" w:cs="Times New Roman"/>
          <w:bCs/>
          <w:color w:val="000000"/>
          <w:sz w:val="32"/>
          <w:szCs w:val="32"/>
          <w:shd w:val="clear" w:color="auto" w:fill="FFFFFF"/>
        </w:rPr>
        <w:instrText xml:space="preserve"> HYPERLINK "mailto:关延川，18401243074，guanyanchuan@chinamobile.com）" </w:instrText>
      </w:r>
      <w:r>
        <w:rPr>
          <w:rFonts w:hint="eastAsia" w:ascii="仿宋_GB2312" w:hAnsi="Calibri" w:eastAsia="仿宋_GB2312" w:cs="Times New Roman"/>
          <w:bCs/>
          <w:color w:val="000000"/>
          <w:sz w:val="32"/>
          <w:szCs w:val="32"/>
          <w:shd w:val="clear" w:color="auto" w:fill="FFFFFF"/>
        </w:rPr>
        <w:fldChar w:fldCharType="separate"/>
      </w:r>
      <w:r>
        <w:rPr>
          <w:rFonts w:hint="eastAsia" w:ascii="仿宋_GB2312" w:hAnsi="Calibri" w:eastAsia="仿宋_GB2312" w:cs="Times New Roman"/>
          <w:bCs/>
          <w:color w:val="000000"/>
          <w:sz w:val="32"/>
          <w:szCs w:val="32"/>
          <w:shd w:val="clear" w:color="auto" w:fill="FFFFFF"/>
        </w:rPr>
        <w:t>关延川，18401243074，guanyanchuan@chinamobile.com）</w:t>
      </w:r>
      <w:r>
        <w:rPr>
          <w:rFonts w:hint="eastAsia" w:ascii="仿宋_GB2312" w:hAnsi="Calibri" w:eastAsia="仿宋_GB2312" w:cs="Times New Roman"/>
          <w:bCs/>
          <w:color w:val="000000"/>
          <w:sz w:val="32"/>
          <w:szCs w:val="32"/>
          <w:shd w:val="clear" w:color="auto" w:fill="FFFFFF"/>
        </w:rPr>
        <w:fldChar w:fldCharType="end"/>
      </w:r>
    </w:p>
    <w:p w14:paraId="17DE8F69">
      <w:pPr>
        <w:spacing w:line="560" w:lineRule="exact"/>
        <w:ind w:firstLine="643" w:firstLineChars="200"/>
        <w:rPr>
          <w:rFonts w:hint="eastAsia" w:ascii="楷体_GB2312" w:hAnsi="黑体" w:eastAsia="楷体_GB2312"/>
          <w:b/>
          <w:bCs/>
          <w:sz w:val="32"/>
          <w:szCs w:val="32"/>
          <w:lang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六</w:t>
      </w:r>
      <w:r>
        <w:rPr>
          <w:rFonts w:hint="eastAsia" w:ascii="楷体_GB2312" w:hAnsi="黑体" w:eastAsia="楷体_GB2312"/>
          <w:b/>
          <w:bCs/>
          <w:sz w:val="32"/>
          <w:szCs w:val="32"/>
          <w:lang w:eastAsia="zh-CN"/>
        </w:rPr>
        <w:t>）医卫行业</w:t>
      </w:r>
    </w:p>
    <w:p w14:paraId="5167C10F">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紧抓方舱医院窗口期，加大力度拓展项目落地</w:t>
      </w:r>
    </w:p>
    <w:p w14:paraId="04AB9A15">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根据国家卫健委方舱医院建设整体部署，要求每省份至少要有2-3家方舱医院。我司迅速行动全力支撑全国方舱医院建设。截</w:t>
      </w:r>
      <w:r>
        <w:rPr>
          <w:rFonts w:hint="eastAsia" w:ascii="仿宋_GB2312" w:hAnsi="Calibri" w:eastAsia="仿宋_GB2312" w:cs="Times New Roman"/>
          <w:bCs/>
          <w:color w:val="000000"/>
          <w:sz w:val="32"/>
          <w:szCs w:val="32"/>
          <w:shd w:val="clear" w:color="auto" w:fill="FFFFFF"/>
          <w:lang w:val="en-US" w:eastAsia="zh-CN"/>
        </w:rPr>
        <w:t>至</w:t>
      </w:r>
      <w:r>
        <w:rPr>
          <w:rFonts w:hint="eastAsia" w:ascii="仿宋_GB2312" w:hAnsi="Calibri" w:eastAsia="仿宋_GB2312" w:cs="Times New Roman"/>
          <w:bCs/>
          <w:color w:val="000000"/>
          <w:sz w:val="32"/>
          <w:szCs w:val="32"/>
          <w:shd w:val="clear" w:color="auto" w:fill="FFFFFF"/>
        </w:rPr>
        <w:t>目前，我司已承担了23省312个方舱医院与隔离点建设，其中方舱医院200个，隔离点112个。浙江湖州公司承担方舱医院项目总集，中标金额558万，集成我司云视讯、和对讲、移动灵瞳等多项产品。现阶段全国各省方舱医院建设需求旺盛、可快速带动专线、云以及创新产品创收，彰显责任担当。此轮方舱医院窗口期很短，请各省市公司结合属地情况，积极对接属地卫健委、住建局、建投等主管部门，紧抓项目建设机会，全力做好项目拓展。</w:t>
      </w:r>
    </w:p>
    <w:p w14:paraId="5F0DEFDB">
      <w:pPr>
        <w:numPr>
          <w:ilvl w:val="0"/>
          <w:numId w:val="0"/>
        </w:numPr>
        <w:spacing w:line="560" w:lineRule="exact"/>
        <w:ind w:leftChars="200" w:firstLine="321" w:firstLineChars="1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2、</w:t>
      </w:r>
      <w:r>
        <w:rPr>
          <w:rFonts w:hint="eastAsia" w:ascii="仿宋_GB2312" w:hAnsi="Calibri" w:eastAsia="仿宋_GB2312" w:cs="Times New Roman"/>
          <w:b/>
          <w:bCs w:val="0"/>
          <w:color w:val="000000"/>
          <w:sz w:val="32"/>
          <w:szCs w:val="32"/>
          <w:shd w:val="clear" w:color="auto" w:fill="FFFFFF"/>
        </w:rPr>
        <w:t>紧抓医保领域政策契机，清单拉网实施专线拓展</w:t>
      </w:r>
    </w:p>
    <w:p w14:paraId="227124FD">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定点医药机构的专线拓展及抢挖是医保领域重点工作和收入增长点，目前我司医保定点医药机构专线覆盖率仅为21.8%（目标值50%），陕西（75.4%）、河南（46.8%）、辽宁（45.2%）、等5省覆盖率超30%；江苏，山西，西藏，内蒙，甘肃，重庆，吉林，广东，上海，北京，海南12省专线覆盖率低于10%。请各省公司加大重视，借鉴陕西优秀经验，比照总部下发的目标客户清单全力组织部署，抓住政策带来的两定专线商机，积极对接属地医保局，实施专项行动拓展。</w:t>
      </w:r>
    </w:p>
    <w:p w14:paraId="1017A73D">
      <w:pPr>
        <w:numPr>
          <w:ilvl w:val="0"/>
          <w:numId w:val="2"/>
        </w:numPr>
        <w:spacing w:line="560" w:lineRule="exact"/>
        <w:ind w:left="0" w:leftChars="0"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rPr>
        <w:t>紧盯公立医院高质量发展，发力智慧医院规模拓展</w:t>
      </w:r>
    </w:p>
    <w:p w14:paraId="2A09C1E4">
      <w:pPr>
        <w:numPr>
          <w:ilvl w:val="0"/>
          <w:numId w:val="0"/>
        </w:num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近期，财政部、国家卫健委公布了《2022年中央财政支持公立医院改革与高质量发展示范项目》，共15个地市项目入选，每个项目中央财政补助约5亿元。请相关省公司予以高度关注，与地市公司共同积极对接市卫健委及关键医院，全力参与项目规划，抢占市场先机。另外，前期总部已下发1.3万家二级及以上医院清单，各省要全力开展目标客户摸排并按月反馈进展情况，积极推进5G医疗新基建项目、两部委5G医疗试点合作医院的项目签约，加速5G智慧医院规模化拓展，同时第一时间将全量项目在5G垂直行业项目管理系统中进行填报。</w:t>
      </w:r>
    </w:p>
    <w:p w14:paraId="47181E38">
      <w:pPr>
        <w:spacing w:line="560" w:lineRule="exact"/>
        <w:ind w:firstLine="643" w:firstLineChars="200"/>
        <w:rPr>
          <w:rFonts w:hint="eastAsia" w:ascii="楷体_GB2312" w:hAnsi="黑体" w:eastAsia="楷体_GB2312"/>
          <w:b/>
          <w:bCs/>
          <w:sz w:val="32"/>
          <w:szCs w:val="32"/>
          <w:lang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七</w:t>
      </w:r>
      <w:r>
        <w:rPr>
          <w:rFonts w:hint="eastAsia" w:ascii="楷体_GB2312" w:hAnsi="黑体" w:eastAsia="楷体_GB2312"/>
          <w:b/>
          <w:bCs/>
          <w:sz w:val="32"/>
          <w:szCs w:val="32"/>
          <w:lang w:eastAsia="zh-CN"/>
        </w:rPr>
        <w:t>）互联网行业</w:t>
      </w:r>
    </w:p>
    <w:p w14:paraId="71AD1844">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lang w:val="en-US" w:eastAsia="zh-CN"/>
        </w:rPr>
        <w:t>1、</w:t>
      </w:r>
      <w:r>
        <w:rPr>
          <w:rFonts w:hint="eastAsia" w:ascii="仿宋_GB2312" w:hAnsi="Calibri" w:eastAsia="仿宋_GB2312" w:cs="Times New Roman"/>
          <w:bCs/>
          <w:color w:val="000000"/>
          <w:sz w:val="32"/>
          <w:szCs w:val="32"/>
          <w:shd w:val="clear" w:color="auto" w:fill="FFFFFF"/>
        </w:rPr>
        <w:t>和盾产品集客大厅改造通知于4月初下发，为加快和盾业务推广，请各省加快落实和盾业支改造方案。（联系人：肖天翔，13810590977、xiaotianxiang@chinamobile.com ）</w:t>
      </w:r>
    </w:p>
    <w:p w14:paraId="7FB6B24D">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lang w:val="en-US" w:eastAsia="zh-CN"/>
        </w:rPr>
        <w:t>2、</w:t>
      </w:r>
      <w:r>
        <w:rPr>
          <w:rFonts w:hint="eastAsia" w:ascii="仿宋_GB2312" w:hAnsi="Calibri" w:eastAsia="仿宋_GB2312" w:cs="Times New Roman"/>
          <w:bCs/>
          <w:color w:val="000000"/>
          <w:sz w:val="32"/>
          <w:szCs w:val="32"/>
          <w:shd w:val="clear" w:color="auto" w:fill="FFFFFF"/>
        </w:rPr>
        <w:t>做好互联网行业标杆案例复制推广。请各省加强互联网行业金牌标杆的复制推广工作力度，同时也请各省积极反馈本省标杆案例。请江苏省做好同程网络科技有限公司大机柜托管项目示范基地的建设、参观交流对接组织等工作。（联系人：赵子冰，13811991424，zhaozibing@chinamobile.com）</w:t>
      </w:r>
    </w:p>
    <w:p w14:paraId="0E8BF9A5">
      <w:pPr>
        <w:spacing w:line="560" w:lineRule="exact"/>
        <w:ind w:firstLine="643" w:firstLineChars="200"/>
        <w:rPr>
          <w:rFonts w:hint="eastAsia" w:ascii="楷体_GB2312" w:hAnsi="黑体" w:eastAsia="楷体_GB2312"/>
          <w:b/>
          <w:bCs/>
          <w:sz w:val="32"/>
          <w:szCs w:val="32"/>
          <w:lang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val="en-US" w:eastAsia="zh-CN"/>
        </w:rPr>
        <w:t>八</w:t>
      </w:r>
      <w:r>
        <w:rPr>
          <w:rFonts w:hint="eastAsia" w:ascii="楷体_GB2312" w:hAnsi="黑体" w:eastAsia="楷体_GB2312"/>
          <w:b/>
          <w:bCs/>
          <w:sz w:val="32"/>
          <w:szCs w:val="32"/>
          <w:lang w:eastAsia="zh-CN"/>
        </w:rPr>
        <w:t>）农商行业</w:t>
      </w:r>
    </w:p>
    <w:p w14:paraId="6910E6BA">
      <w:pPr>
        <w:spacing w:line="560" w:lineRule="exact"/>
        <w:ind w:firstLine="643" w:firstLineChars="200"/>
        <w:rPr>
          <w:rFonts w:hint="eastAsia" w:ascii="仿宋_GB2312" w:hAnsi="Calibri" w:eastAsia="仿宋_GB2312" w:cs="Times New Roman"/>
          <w:b/>
          <w:bCs w:val="0"/>
          <w:color w:val="000000"/>
          <w:sz w:val="32"/>
          <w:szCs w:val="32"/>
          <w:shd w:val="clear" w:color="auto" w:fill="FFFFFF"/>
        </w:rPr>
      </w:pPr>
      <w:r>
        <w:rPr>
          <w:rFonts w:hint="eastAsia" w:ascii="仿宋_GB2312" w:hAnsi="Calibri" w:eastAsia="仿宋_GB2312" w:cs="Times New Roman"/>
          <w:b/>
          <w:bCs w:val="0"/>
          <w:color w:val="000000"/>
          <w:sz w:val="32"/>
          <w:szCs w:val="32"/>
          <w:shd w:val="clear" w:color="auto" w:fill="FFFFFF"/>
          <w:lang w:val="en-US" w:eastAsia="zh-CN"/>
        </w:rPr>
        <w:t>1、</w:t>
      </w:r>
      <w:r>
        <w:rPr>
          <w:rFonts w:hint="eastAsia" w:ascii="仿宋_GB2312" w:hAnsi="Calibri" w:eastAsia="仿宋_GB2312" w:cs="Times New Roman"/>
          <w:b/>
          <w:bCs w:val="0"/>
          <w:color w:val="000000"/>
          <w:sz w:val="32"/>
          <w:szCs w:val="32"/>
          <w:shd w:val="clear" w:color="auto" w:fill="FFFFFF"/>
        </w:rPr>
        <w:t>深入摸排文旅市场，协同开展挂图作战</w:t>
      </w:r>
    </w:p>
    <w:p w14:paraId="3A6037C2">
      <w:pPr>
        <w:spacing w:line="560" w:lineRule="exact"/>
        <w:ind w:firstLine="640" w:firstLineChars="200"/>
        <w:rPr>
          <w:rFonts w:hint="eastAsia" w:ascii="仿宋_GB2312" w:hAnsi="Calibri" w:eastAsia="仿宋_GB2312" w:cs="Times New Roman"/>
          <w:bCs/>
          <w:color w:val="000000"/>
          <w:sz w:val="32"/>
          <w:szCs w:val="32"/>
          <w:shd w:val="clear" w:color="auto" w:fill="FFFFFF"/>
        </w:rPr>
      </w:pPr>
      <w:r>
        <w:rPr>
          <w:rFonts w:hint="eastAsia" w:ascii="仿宋_GB2312" w:hAnsi="Calibri" w:eastAsia="仿宋_GB2312" w:cs="Times New Roman"/>
          <w:bCs/>
          <w:color w:val="000000"/>
          <w:sz w:val="32"/>
          <w:szCs w:val="32"/>
          <w:shd w:val="clear" w:color="auto" w:fill="FFFFFF"/>
        </w:rPr>
        <w:t>总部已梳理文旅各细分领域重点目标客户清单，并随《关于下发2022年文化和旅游行业市场推广指导意见的通知》（政企通〔2022〕38   号）下发至省公司。各省要以此为基础组织开展市场摸排工作，梳理文旅行业拓展现状及市场份额等情况，联合总部及专业公司开展挂图协同作战，每月10日前更新</w:t>
      </w:r>
      <w:r>
        <w:rPr>
          <w:rFonts w:hint="eastAsia" w:ascii="仿宋_GB2312" w:hAnsi="Calibri" w:eastAsia="仿宋_GB2312" w:cs="Times New Roman"/>
          <w:bCs/>
          <w:color w:val="000000"/>
          <w:sz w:val="32"/>
          <w:szCs w:val="32"/>
          <w:shd w:val="clear" w:color="auto" w:fill="FFFFFF"/>
          <w:lang w:val="en-US" w:eastAsia="zh-CN"/>
        </w:rPr>
        <w:t>随文下发的附件</w:t>
      </w:r>
      <w:r>
        <w:rPr>
          <w:rFonts w:hint="eastAsia" w:ascii="仿宋_GB2312" w:hAnsi="Calibri" w:eastAsia="仿宋_GB2312" w:cs="Times New Roman"/>
          <w:bCs/>
          <w:color w:val="000000"/>
          <w:sz w:val="32"/>
          <w:szCs w:val="32"/>
          <w:shd w:val="clear" w:color="auto" w:fill="FFFFFF"/>
        </w:rPr>
        <w:t>至总部。（联系人：李鹏，13811701481， lipengns@chinamobile.com）</w:t>
      </w:r>
    </w:p>
    <w:p w14:paraId="3711A56F">
      <w:pPr>
        <w:spacing w:line="560" w:lineRule="exact"/>
        <w:ind w:firstLine="640" w:firstLineChars="200"/>
        <w:rPr>
          <w:rFonts w:hint="eastAsia" w:ascii="仿宋_GB2312" w:hAnsi="Calibri" w:eastAsia="仿宋_GB2312" w:cs="Times New Roman"/>
          <w:bCs/>
          <w:color w:val="000000"/>
          <w:sz w:val="32"/>
          <w:szCs w:val="32"/>
          <w:shd w:val="clear" w:color="auto" w:fill="FFFFFF"/>
        </w:rPr>
      </w:pPr>
    </w:p>
    <w:p w14:paraId="7A2C02FE">
      <w:pPr>
        <w:spacing w:line="560" w:lineRule="exact"/>
        <w:ind w:firstLine="640" w:firstLineChars="200"/>
        <w:rPr>
          <w:rFonts w:hint="eastAsia" w:ascii="仿宋_GB2312" w:hAnsi="Calibri" w:eastAsia="仿宋_GB2312" w:cs="Times New Roman"/>
          <w:bCs/>
          <w:color w:val="000000"/>
          <w:sz w:val="32"/>
          <w:szCs w:val="32"/>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ECDED"/>
    <w:multiLevelType w:val="singleLevel"/>
    <w:tmpl w:val="01AECDED"/>
    <w:lvl w:ilvl="0" w:tentative="0">
      <w:start w:val="2"/>
      <w:numFmt w:val="decimal"/>
      <w:suff w:val="nothing"/>
      <w:lvlText w:val="%1、"/>
      <w:lvlJc w:val="left"/>
    </w:lvl>
  </w:abstractNum>
  <w:abstractNum w:abstractNumId="1">
    <w:nsid w:val="6F14F30C"/>
    <w:multiLevelType w:val="singleLevel"/>
    <w:tmpl w:val="6F14F30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5E80"/>
    <w:rsid w:val="000645DA"/>
    <w:rsid w:val="00124518"/>
    <w:rsid w:val="002767BE"/>
    <w:rsid w:val="00317C78"/>
    <w:rsid w:val="003E4420"/>
    <w:rsid w:val="005B2267"/>
    <w:rsid w:val="006E16F7"/>
    <w:rsid w:val="006F28E0"/>
    <w:rsid w:val="00772FD2"/>
    <w:rsid w:val="008B5841"/>
    <w:rsid w:val="00D45408"/>
    <w:rsid w:val="00DF5E80"/>
    <w:rsid w:val="00FC5988"/>
    <w:rsid w:val="04350F25"/>
    <w:rsid w:val="04D375E4"/>
    <w:rsid w:val="08D25D1B"/>
    <w:rsid w:val="0D54308C"/>
    <w:rsid w:val="139D3DE9"/>
    <w:rsid w:val="15EA25F5"/>
    <w:rsid w:val="1E932753"/>
    <w:rsid w:val="28F24F01"/>
    <w:rsid w:val="41295E40"/>
    <w:rsid w:val="52D85D6E"/>
    <w:rsid w:val="5E486198"/>
    <w:rsid w:val="637D0BBD"/>
    <w:rsid w:val="6CDE3668"/>
    <w:rsid w:val="7CA2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964</Words>
  <Characters>5497</Characters>
  <Lines>45</Lines>
  <Paragraphs>12</Paragraphs>
  <TotalTime>5</TotalTime>
  <ScaleCrop>false</ScaleCrop>
  <LinksUpToDate>false</LinksUpToDate>
  <CharactersWithSpaces>6449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2022-03-28T04:55:00Z</dcterms:created>
  <dc:creator>hp</dc:creator>
  <cp:lastModifiedBy>小孙策反了</cp:lastModifiedBy>
  <dcterms:modified xsi:type="dcterms:W3CDTF">2024-11-19T11:39:54Z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14BF843689EC41578AB03901D1B1B4D0_13</vt:lpwstr>
  </property>
</Properties>
</file>