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AA581">
      <w:pPr>
        <w:jc w:val="center"/>
        <w:rPr>
          <w:rFonts w:ascii="华文中宋" w:hAnsi="华文中宋" w:eastAsia="华文中宋"/>
          <w:bCs/>
          <w:sz w:val="32"/>
        </w:rPr>
      </w:pPr>
      <w:bookmarkStart w:id="0" w:name="_GoBack"/>
      <w:bookmarkEnd w:id="0"/>
      <w:r>
        <w:rPr>
          <w:rFonts w:hint="eastAsia" w:ascii="华文中宋" w:hAnsi="华文中宋" w:eastAsia="华文中宋"/>
          <w:bCs/>
          <w:sz w:val="32"/>
        </w:rPr>
        <w:t>5G行业消息优秀案例2021年5月期</w:t>
      </w:r>
    </w:p>
    <w:p w14:paraId="69143FBC">
      <w:pPr>
        <w:jc w:val="left"/>
        <w:rPr>
          <w:rFonts w:asciiTheme="minorEastAsia" w:hAnsiTheme="minorEastAsia" w:eastAsiaTheme="minorEastAsia"/>
          <w:bCs/>
        </w:rPr>
      </w:pPr>
    </w:p>
    <w:p w14:paraId="5D3CCCD6">
      <w:pPr>
        <w:rPr>
          <w:rFonts w:ascii="黑体" w:eastAsia="黑体"/>
          <w:b/>
          <w:sz w:val="24"/>
          <w:szCs w:val="16"/>
        </w:rPr>
      </w:pP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88"/>
        <w:gridCol w:w="6974"/>
      </w:tblGrid>
      <w:tr w14:paraId="66E20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1" w:hRule="atLeast"/>
          <w:jc w:val="center"/>
        </w:trPr>
        <w:tc>
          <w:tcPr>
            <w:tcW w:w="830" w:type="pct"/>
            <w:vAlign w:val="center"/>
          </w:tcPr>
          <w:p w14:paraId="225B605E">
            <w:pPr>
              <w:jc w:val="center"/>
              <w:rPr>
                <w:b/>
                <w:bCs/>
              </w:rPr>
            </w:pPr>
            <w:r>
              <w:rPr>
                <w:rFonts w:hint="eastAsia"/>
                <w:b/>
                <w:bCs/>
              </w:rPr>
              <w:t>案例名称</w:t>
            </w:r>
          </w:p>
        </w:tc>
        <w:tc>
          <w:tcPr>
            <w:tcW w:w="4170" w:type="pct"/>
            <w:tcBorders>
              <w:bottom w:val="single" w:color="auto" w:sz="4" w:space="0"/>
            </w:tcBorders>
            <w:vAlign w:val="center"/>
          </w:tcPr>
          <w:p w14:paraId="26BB6F72">
            <w:pPr>
              <w:jc w:val="left"/>
              <w:rPr>
                <w:bCs/>
              </w:rPr>
            </w:pPr>
            <w:r>
              <w:rPr>
                <w:rFonts w:hint="eastAsia"/>
                <w:bCs/>
              </w:rPr>
              <w:t>广东深圳华润集团5</w:t>
            </w:r>
            <w:r>
              <w:rPr>
                <w:bCs/>
              </w:rPr>
              <w:t>G</w:t>
            </w:r>
            <w:r>
              <w:rPr>
                <w:rFonts w:hint="eastAsia"/>
                <w:bCs/>
              </w:rPr>
              <w:t>行业消息拓展案例</w:t>
            </w:r>
          </w:p>
        </w:tc>
      </w:tr>
      <w:tr w14:paraId="4A239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830" w:type="pct"/>
            <w:vAlign w:val="center"/>
          </w:tcPr>
          <w:p w14:paraId="4BAB5E5D">
            <w:pPr>
              <w:jc w:val="center"/>
              <w:rPr>
                <w:b/>
                <w:bCs/>
              </w:rPr>
            </w:pPr>
            <w:r>
              <w:rPr>
                <w:rFonts w:hint="eastAsia"/>
                <w:b/>
                <w:bCs/>
              </w:rPr>
              <w:t>完成单位</w:t>
            </w:r>
          </w:p>
        </w:tc>
        <w:tc>
          <w:tcPr>
            <w:tcW w:w="4170" w:type="pct"/>
            <w:vAlign w:val="center"/>
          </w:tcPr>
          <w:p w14:paraId="57CCD99D">
            <w:pPr>
              <w:jc w:val="left"/>
              <w:rPr>
                <w:bCs/>
              </w:rPr>
            </w:pPr>
            <w:r>
              <w:rPr>
                <w:rFonts w:hint="eastAsia"/>
                <w:bCs/>
              </w:rPr>
              <w:t>中国移动广东公司深圳分公司</w:t>
            </w:r>
          </w:p>
        </w:tc>
      </w:tr>
      <w:tr w14:paraId="1BF5D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4" w:hRule="atLeast"/>
          <w:jc w:val="center"/>
        </w:trPr>
        <w:tc>
          <w:tcPr>
            <w:tcW w:w="830" w:type="pct"/>
            <w:vAlign w:val="center"/>
          </w:tcPr>
          <w:p w14:paraId="6AAD4C0F">
            <w:pPr>
              <w:jc w:val="center"/>
              <w:rPr>
                <w:b/>
                <w:bCs/>
              </w:rPr>
            </w:pPr>
            <w:r>
              <w:rPr>
                <w:rFonts w:hint="eastAsia"/>
                <w:b/>
                <w:bCs/>
              </w:rPr>
              <w:t>项目联系人</w:t>
            </w:r>
          </w:p>
        </w:tc>
        <w:tc>
          <w:tcPr>
            <w:tcW w:w="4170" w:type="pct"/>
            <w:vAlign w:val="center"/>
          </w:tcPr>
          <w:p w14:paraId="33B6ED00">
            <w:pPr>
              <w:jc w:val="left"/>
              <w:rPr>
                <w:bCs/>
              </w:rPr>
            </w:pPr>
            <w:r>
              <w:rPr>
                <w:rFonts w:hint="eastAsia"/>
                <w:bCs/>
              </w:rPr>
              <w:t>陈晓溪 15012880182</w:t>
            </w:r>
          </w:p>
        </w:tc>
      </w:tr>
      <w:tr w14:paraId="2784A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90" w:hRule="exact"/>
          <w:jc w:val="center"/>
        </w:trPr>
        <w:tc>
          <w:tcPr>
            <w:tcW w:w="830" w:type="pct"/>
            <w:vAlign w:val="center"/>
          </w:tcPr>
          <w:p w14:paraId="7D3524D4">
            <w:pPr>
              <w:jc w:val="center"/>
              <w:rPr>
                <w:b/>
                <w:bCs/>
              </w:rPr>
            </w:pPr>
            <w:r>
              <w:rPr>
                <w:rFonts w:hint="eastAsia"/>
                <w:b/>
                <w:bCs/>
              </w:rPr>
              <w:t>案例概述</w:t>
            </w:r>
          </w:p>
        </w:tc>
        <w:tc>
          <w:tcPr>
            <w:tcW w:w="4170" w:type="pct"/>
          </w:tcPr>
          <w:p w14:paraId="517023B9">
            <w:pPr>
              <w:jc w:val="left"/>
              <w:rPr>
                <w:bCs/>
              </w:rPr>
            </w:pPr>
            <w:r>
              <w:rPr>
                <w:rFonts w:hint="eastAsia"/>
                <w:bCs/>
              </w:rPr>
              <w:t>面向重点客户华润集团，把握客户生态合作伙伴招募机会，充分挖潜客户大数据短信、5G行业消息需求，最终在多家同类供应商中脱颖而出，成功入围华润集团润联的联大数据5G短消息供应商。</w:t>
            </w:r>
          </w:p>
        </w:tc>
      </w:tr>
      <w:tr w14:paraId="2AF3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8" w:hRule="exact"/>
          <w:jc w:val="center"/>
        </w:trPr>
        <w:tc>
          <w:tcPr>
            <w:tcW w:w="830" w:type="pct"/>
            <w:vAlign w:val="center"/>
          </w:tcPr>
          <w:p w14:paraId="5F652A62">
            <w:pPr>
              <w:jc w:val="center"/>
              <w:rPr>
                <w:b/>
                <w:bCs/>
              </w:rPr>
            </w:pPr>
            <w:r>
              <w:rPr>
                <w:rFonts w:hint="eastAsia"/>
                <w:b/>
                <w:bCs/>
              </w:rPr>
              <w:t>案例详细内容</w:t>
            </w:r>
          </w:p>
        </w:tc>
        <w:tc>
          <w:tcPr>
            <w:tcW w:w="4170" w:type="pct"/>
          </w:tcPr>
          <w:p w14:paraId="6B5EEBAE">
            <w:pPr>
              <w:rPr>
                <w:rFonts w:asciiTheme="minorEastAsia" w:hAnsiTheme="minorEastAsia" w:eastAsiaTheme="minorEastAsia"/>
                <w:b/>
                <w:bCs/>
                <w:szCs w:val="21"/>
              </w:rPr>
            </w:pPr>
            <w:r>
              <w:rPr>
                <w:rFonts w:hint="eastAsia" w:asciiTheme="minorEastAsia" w:hAnsiTheme="minorEastAsia" w:eastAsiaTheme="minorEastAsia"/>
                <w:b/>
                <w:bCs/>
                <w:szCs w:val="21"/>
              </w:rPr>
              <w:t>一、项目需求</w:t>
            </w:r>
          </w:p>
          <w:p w14:paraId="18800176">
            <w:pPr>
              <w:rPr>
                <w:rFonts w:asciiTheme="minorEastAsia" w:hAnsiTheme="minorEastAsia" w:eastAsiaTheme="minorEastAsia"/>
                <w:bCs/>
                <w:szCs w:val="21"/>
              </w:rPr>
            </w:pPr>
            <w:r>
              <w:rPr>
                <w:rFonts w:hint="eastAsia" w:asciiTheme="minorEastAsia" w:hAnsiTheme="minorEastAsia" w:eastAsiaTheme="minorEastAsia"/>
                <w:bCs/>
                <w:szCs w:val="21"/>
              </w:rPr>
              <w:t>润联科技作为华润集团支撑内部利润中心的主要单位，提出基于大数据精准营销，为华润万家门店周边住宅小区人群发放优惠券等应用场景需求。</w:t>
            </w:r>
          </w:p>
          <w:p w14:paraId="3822170E">
            <w:pPr>
              <w:rPr>
                <w:rFonts w:asciiTheme="minorEastAsia" w:hAnsiTheme="minorEastAsia" w:eastAsiaTheme="minorEastAsia"/>
                <w:b/>
                <w:bCs/>
                <w:szCs w:val="21"/>
              </w:rPr>
            </w:pPr>
            <w:r>
              <w:rPr>
                <w:rFonts w:hint="eastAsia" w:asciiTheme="minorEastAsia" w:hAnsiTheme="minorEastAsia" w:eastAsiaTheme="minorEastAsia"/>
                <w:b/>
                <w:bCs/>
                <w:szCs w:val="21"/>
              </w:rPr>
              <w:t>二、工作举措</w:t>
            </w:r>
          </w:p>
          <w:p w14:paraId="1F9290D8">
            <w:pPr>
              <w:rPr>
                <w:rFonts w:asciiTheme="minorEastAsia" w:hAnsiTheme="minorEastAsia" w:eastAsiaTheme="minorEastAsia"/>
                <w:bCs/>
                <w:szCs w:val="21"/>
              </w:rPr>
            </w:pPr>
            <w:r>
              <w:rPr>
                <w:rFonts w:hint="eastAsia" w:asciiTheme="minorEastAsia" w:hAnsiTheme="minorEastAsia" w:eastAsiaTheme="minorEastAsia"/>
                <w:bCs/>
                <w:szCs w:val="21"/>
              </w:rPr>
              <w:t>广东公司在大数据+消息业务方面一直和客户保持着良好的沟通，自5G消息白皮书发布以来，多次与客户就业务进行现场演示交流。围绕客户行业需求，面向客户旗下包括华润万家、华润置地在内等各大子公司的节假日营销宣传、客户优惠券发放等应用进行细分场景项目深挖洽谈，近期客户公开发布通知招募5G大数据短信业务供应合作伙伴，一线获悉后迅速跟进。</w:t>
            </w:r>
            <w:r>
              <w:rPr>
                <w:rFonts w:hint="eastAsia" w:asciiTheme="minorEastAsia" w:hAnsiTheme="minorEastAsia" w:eastAsiaTheme="minorEastAsia"/>
                <w:bCs/>
                <w:szCs w:val="21"/>
              </w:rPr>
              <w:cr/>
            </w:r>
            <w:r>
              <w:rPr>
                <w:rFonts w:hint="eastAsia" w:asciiTheme="minorEastAsia" w:hAnsiTheme="minorEastAsia" w:eastAsiaTheme="minorEastAsia"/>
                <w:bCs/>
                <w:szCs w:val="21"/>
              </w:rPr>
              <w:t>由于应标时间紧张，技术要求高，广东公司迅速形成集团-省-市三级拓展团队，针对客户需求进行多轮技术论证，逐一针对客户提出的软著、专利等要求尽全力应答，最终在三级团队大力支持和配合下，按时完成标书制作，并成功入围。</w:t>
            </w:r>
          </w:p>
          <w:p w14:paraId="32C4A931">
            <w:pPr>
              <w:rPr>
                <w:rFonts w:asciiTheme="minorEastAsia" w:hAnsiTheme="minorEastAsia" w:eastAsiaTheme="minorEastAsia"/>
                <w:b/>
                <w:bCs/>
                <w:szCs w:val="21"/>
              </w:rPr>
            </w:pPr>
            <w:r>
              <w:rPr>
                <w:rFonts w:hint="eastAsia" w:asciiTheme="minorEastAsia" w:hAnsiTheme="minorEastAsia" w:eastAsiaTheme="minorEastAsia"/>
                <w:b/>
                <w:bCs/>
                <w:szCs w:val="21"/>
              </w:rPr>
              <w:t>三、行业成果</w:t>
            </w:r>
          </w:p>
          <w:p w14:paraId="152A8E75">
            <w:pPr>
              <w:rPr>
                <w:rFonts w:asciiTheme="minorEastAsia" w:hAnsiTheme="minorEastAsia" w:eastAsiaTheme="minorEastAsia"/>
                <w:bCs/>
                <w:szCs w:val="21"/>
              </w:rPr>
            </w:pPr>
            <w:r>
              <w:rPr>
                <w:rFonts w:hint="eastAsia" w:asciiTheme="minorEastAsia" w:hAnsiTheme="minorEastAsia" w:eastAsiaTheme="minorEastAsia"/>
                <w:bCs/>
                <w:szCs w:val="21"/>
              </w:rPr>
              <w:t>通过前期需求紧密跟进，售中多级协作的方式，短时间内完成“大数据+5G消息”平台整体能力方案输出，力压友商和第三方单位，成功成为唯一一家入围华润集团润联科技第一阶段生态合作伙伴的运营商，为后续业务推进和合作落收奠定坚实基础。</w:t>
            </w:r>
          </w:p>
        </w:tc>
      </w:tr>
    </w:tbl>
    <w:p w14:paraId="14E4A5AD">
      <w:pPr>
        <w:rPr>
          <w:rFonts w:ascii="黑体" w:eastAsia="黑体"/>
          <w:b/>
          <w:sz w:val="24"/>
          <w:szCs w:val="16"/>
        </w:rPr>
      </w:pPr>
    </w:p>
    <w:p w14:paraId="16D3D7D3">
      <w:pPr>
        <w:rPr>
          <w:rFonts w:ascii="黑体" w:eastAsia="黑体"/>
          <w:b/>
          <w:sz w:val="24"/>
          <w:szCs w:val="16"/>
        </w:rPr>
      </w:pPr>
    </w:p>
    <w:p w14:paraId="6A50772A">
      <w:pPr>
        <w:rPr>
          <w:rFonts w:ascii="黑体" w:eastAsia="黑体"/>
          <w:b/>
          <w:sz w:val="24"/>
          <w:szCs w:val="16"/>
        </w:rPr>
      </w:pPr>
    </w:p>
    <w:p w14:paraId="3FFDD841">
      <w:pPr>
        <w:rPr>
          <w:rFonts w:ascii="黑体" w:eastAsia="黑体"/>
          <w:b/>
          <w:sz w:val="24"/>
          <w:szCs w:val="16"/>
        </w:rPr>
      </w:pPr>
    </w:p>
    <w:p w14:paraId="16A77AA8">
      <w:pPr>
        <w:rPr>
          <w:rFonts w:ascii="黑体" w:eastAsia="黑体"/>
          <w:b/>
          <w:sz w:val="24"/>
          <w:szCs w:val="16"/>
        </w:rPr>
      </w:pPr>
    </w:p>
    <w:p w14:paraId="4CFAC5EA">
      <w:pPr>
        <w:rPr>
          <w:rFonts w:ascii="黑体" w:eastAsia="黑体"/>
          <w:b/>
          <w:sz w:val="24"/>
          <w:szCs w:val="16"/>
        </w:rPr>
      </w:pPr>
    </w:p>
    <w:p w14:paraId="30CB546B">
      <w:pPr>
        <w:rPr>
          <w:rFonts w:ascii="黑体" w:eastAsia="黑体"/>
          <w:b/>
          <w:sz w:val="24"/>
          <w:szCs w:val="16"/>
        </w:rPr>
      </w:pPr>
    </w:p>
    <w:p w14:paraId="199A2F76">
      <w:pPr>
        <w:rPr>
          <w:rFonts w:ascii="黑体" w:eastAsia="黑体"/>
          <w:b/>
          <w:sz w:val="24"/>
          <w:szCs w:val="16"/>
        </w:rPr>
      </w:pPr>
    </w:p>
    <w:p w14:paraId="054FFF93">
      <w:pPr>
        <w:rPr>
          <w:rFonts w:ascii="黑体" w:eastAsia="黑体"/>
          <w:b/>
          <w:sz w:val="24"/>
          <w:szCs w:val="16"/>
        </w:rPr>
      </w:pPr>
    </w:p>
    <w:p w14:paraId="69E9F48A">
      <w:pPr>
        <w:rPr>
          <w:rFonts w:hint="eastAsia" w:ascii="黑体" w:eastAsia="黑体"/>
          <w:b/>
          <w:sz w:val="24"/>
          <w:szCs w:val="16"/>
        </w:rPr>
      </w:pPr>
    </w:p>
    <w:p w14:paraId="77AC6508">
      <w:pPr>
        <w:jc w:val="left"/>
        <w:rPr>
          <w:rFonts w:hint="eastAsia" w:asciiTheme="minorEastAsia" w:hAnsiTheme="minorEastAsia" w:eastAsiaTheme="minorEastAsia"/>
          <w:bCs/>
        </w:rPr>
      </w:pP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88"/>
        <w:gridCol w:w="6974"/>
      </w:tblGrid>
      <w:tr w14:paraId="04531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1" w:hRule="atLeast"/>
          <w:jc w:val="center"/>
        </w:trPr>
        <w:tc>
          <w:tcPr>
            <w:tcW w:w="830" w:type="pct"/>
            <w:vAlign w:val="center"/>
          </w:tcPr>
          <w:p w14:paraId="2BA823F0">
            <w:pPr>
              <w:jc w:val="center"/>
              <w:rPr>
                <w:b/>
                <w:bCs/>
              </w:rPr>
            </w:pPr>
            <w:r>
              <w:rPr>
                <w:rFonts w:hint="eastAsia"/>
                <w:b/>
                <w:bCs/>
              </w:rPr>
              <w:t>案例名称</w:t>
            </w:r>
          </w:p>
        </w:tc>
        <w:tc>
          <w:tcPr>
            <w:tcW w:w="4170" w:type="pct"/>
            <w:tcBorders>
              <w:bottom w:val="single" w:color="auto" w:sz="4" w:space="0"/>
            </w:tcBorders>
            <w:vAlign w:val="center"/>
          </w:tcPr>
          <w:p w14:paraId="3AECD9B0">
            <w:pPr>
              <w:jc w:val="left"/>
              <w:rPr>
                <w:bCs/>
              </w:rPr>
            </w:pPr>
            <w:r>
              <w:rPr>
                <w:rFonts w:hint="eastAsia"/>
                <w:bCs/>
              </w:rPr>
              <w:t>桂林医学院附属医院5</w:t>
            </w:r>
            <w:r>
              <w:rPr>
                <w:bCs/>
              </w:rPr>
              <w:t>G</w:t>
            </w:r>
            <w:r>
              <w:rPr>
                <w:rFonts w:hint="eastAsia"/>
                <w:bCs/>
              </w:rPr>
              <w:t>行业消息拓展案例</w:t>
            </w:r>
          </w:p>
        </w:tc>
      </w:tr>
      <w:tr w14:paraId="0ED66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830" w:type="pct"/>
            <w:vAlign w:val="center"/>
          </w:tcPr>
          <w:p w14:paraId="7AB5E886">
            <w:pPr>
              <w:jc w:val="center"/>
              <w:rPr>
                <w:b/>
                <w:bCs/>
              </w:rPr>
            </w:pPr>
            <w:r>
              <w:rPr>
                <w:rFonts w:hint="eastAsia"/>
                <w:b/>
                <w:bCs/>
              </w:rPr>
              <w:t>完成单位</w:t>
            </w:r>
          </w:p>
        </w:tc>
        <w:tc>
          <w:tcPr>
            <w:tcW w:w="4170" w:type="pct"/>
            <w:vAlign w:val="center"/>
          </w:tcPr>
          <w:p w14:paraId="5933FF39">
            <w:pPr>
              <w:jc w:val="left"/>
              <w:rPr>
                <w:bCs/>
              </w:rPr>
            </w:pPr>
            <w:r>
              <w:rPr>
                <w:rFonts w:hint="eastAsia"/>
                <w:bCs/>
              </w:rPr>
              <w:t>中国移动广西公司桂林分公司</w:t>
            </w:r>
          </w:p>
        </w:tc>
      </w:tr>
      <w:tr w14:paraId="40D34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4" w:hRule="atLeast"/>
          <w:jc w:val="center"/>
        </w:trPr>
        <w:tc>
          <w:tcPr>
            <w:tcW w:w="830" w:type="pct"/>
            <w:vAlign w:val="center"/>
          </w:tcPr>
          <w:p w14:paraId="5CAA2F05">
            <w:pPr>
              <w:jc w:val="center"/>
              <w:rPr>
                <w:b/>
                <w:bCs/>
              </w:rPr>
            </w:pPr>
            <w:r>
              <w:rPr>
                <w:rFonts w:hint="eastAsia"/>
                <w:b/>
                <w:bCs/>
              </w:rPr>
              <w:t>项目联系人</w:t>
            </w:r>
          </w:p>
        </w:tc>
        <w:tc>
          <w:tcPr>
            <w:tcW w:w="4170" w:type="pct"/>
            <w:vAlign w:val="center"/>
          </w:tcPr>
          <w:p w14:paraId="3A0599C3">
            <w:pPr>
              <w:jc w:val="left"/>
              <w:rPr>
                <w:bCs/>
              </w:rPr>
            </w:pPr>
            <w:r>
              <w:rPr>
                <w:rFonts w:hint="eastAsia"/>
                <w:bCs/>
              </w:rPr>
              <w:t>胡云，18877316158</w:t>
            </w:r>
          </w:p>
        </w:tc>
      </w:tr>
      <w:tr w14:paraId="6A29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6" w:hRule="exact"/>
          <w:jc w:val="center"/>
        </w:trPr>
        <w:tc>
          <w:tcPr>
            <w:tcW w:w="830" w:type="pct"/>
            <w:vAlign w:val="center"/>
          </w:tcPr>
          <w:p w14:paraId="0A796A57">
            <w:pPr>
              <w:jc w:val="center"/>
              <w:rPr>
                <w:b/>
                <w:bCs/>
              </w:rPr>
            </w:pPr>
            <w:r>
              <w:rPr>
                <w:rFonts w:hint="eastAsia"/>
                <w:b/>
                <w:bCs/>
              </w:rPr>
              <w:t>案例概述</w:t>
            </w:r>
          </w:p>
        </w:tc>
        <w:tc>
          <w:tcPr>
            <w:tcW w:w="4170" w:type="pct"/>
          </w:tcPr>
          <w:p w14:paraId="2804E9B9">
            <w:pPr>
              <w:jc w:val="left"/>
              <w:rPr>
                <w:bCs/>
              </w:rPr>
            </w:pPr>
            <w:r>
              <w:rPr>
                <w:rFonts w:hint="eastAsia"/>
                <w:bCs/>
              </w:rPr>
              <w:t>桂林医学院附属医院预计每月发送15万条5G行业消息，通过5G行业消息实现预约挂号及医院科室的相关业务介绍、宣传。</w:t>
            </w:r>
          </w:p>
        </w:tc>
      </w:tr>
      <w:tr w14:paraId="2D51D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56" w:hRule="exact"/>
          <w:jc w:val="center"/>
        </w:trPr>
        <w:tc>
          <w:tcPr>
            <w:tcW w:w="830" w:type="pct"/>
            <w:vAlign w:val="center"/>
          </w:tcPr>
          <w:p w14:paraId="195DB4E3">
            <w:pPr>
              <w:jc w:val="center"/>
              <w:rPr>
                <w:b/>
                <w:bCs/>
              </w:rPr>
            </w:pPr>
            <w:r>
              <w:rPr>
                <w:rFonts w:hint="eastAsia"/>
                <w:b/>
                <w:bCs/>
              </w:rPr>
              <w:t>案例详细内容</w:t>
            </w:r>
          </w:p>
        </w:tc>
        <w:tc>
          <w:tcPr>
            <w:tcW w:w="4170" w:type="pct"/>
          </w:tcPr>
          <w:p w14:paraId="63A143EA">
            <w:pPr>
              <w:rPr>
                <w:rFonts w:hint="eastAsia" w:asciiTheme="minorEastAsia" w:hAnsiTheme="minorEastAsia" w:eastAsiaTheme="minorEastAsia"/>
                <w:b/>
                <w:bCs/>
                <w:szCs w:val="21"/>
              </w:rPr>
            </w:pPr>
            <w:r>
              <w:rPr>
                <w:rFonts w:hint="eastAsia" w:asciiTheme="minorEastAsia" w:hAnsiTheme="minorEastAsia" w:eastAsiaTheme="minorEastAsia"/>
                <w:b/>
                <w:bCs/>
                <w:szCs w:val="21"/>
              </w:rPr>
              <w:t>一、售前需求获取</w:t>
            </w:r>
          </w:p>
          <w:p w14:paraId="3FB101E2">
            <w:pPr>
              <w:rPr>
                <w:rFonts w:hint="eastAsia" w:asciiTheme="minorEastAsia" w:hAnsiTheme="minorEastAsia" w:eastAsiaTheme="minorEastAsia"/>
                <w:bCs/>
                <w:szCs w:val="21"/>
              </w:rPr>
            </w:pPr>
            <w:r>
              <w:rPr>
                <w:rFonts w:hint="eastAsia" w:asciiTheme="minorEastAsia" w:hAnsiTheme="minorEastAsia" w:eastAsiaTheme="minorEastAsia"/>
                <w:bCs/>
                <w:szCs w:val="21"/>
              </w:rPr>
              <w:t>近期我公司在客户拜访中了解到桂林医学院附属医院与其合作单位正在进行新科室运营方案制作。获取该商机后，分公司立即组织行业经理+客户经理联合拓展团队，及时向客户介绍5G行业消息业务，并现场演示5G行业消息多形态宣传效果、预约挂号等功能。5G行业消息用户直达及图文结合的模式获得了院方领导的认可，最终成功签约。</w:t>
            </w:r>
          </w:p>
          <w:p w14:paraId="4CA44FA0">
            <w:pPr>
              <w:rPr>
                <w:rFonts w:hint="eastAsia" w:asciiTheme="minorEastAsia" w:hAnsiTheme="minorEastAsia" w:eastAsiaTheme="minorEastAsia"/>
                <w:b/>
                <w:bCs/>
                <w:szCs w:val="21"/>
              </w:rPr>
            </w:pPr>
            <w:r>
              <w:rPr>
                <w:rFonts w:hint="eastAsia" w:asciiTheme="minorEastAsia" w:hAnsiTheme="minorEastAsia" w:eastAsiaTheme="minorEastAsia"/>
                <w:b/>
                <w:bCs/>
                <w:szCs w:val="21"/>
              </w:rPr>
              <w:t>二、售中走访</w:t>
            </w:r>
          </w:p>
          <w:p w14:paraId="7E4897BE">
            <w:pPr>
              <w:rPr>
                <w:rFonts w:hint="eastAsia" w:asciiTheme="minorEastAsia" w:hAnsiTheme="minorEastAsia" w:eastAsiaTheme="minorEastAsia"/>
                <w:bCs/>
                <w:szCs w:val="21"/>
              </w:rPr>
            </w:pPr>
            <w:r>
              <w:rPr>
                <w:rFonts w:hint="eastAsia" w:asciiTheme="minorEastAsia" w:hAnsiTheme="minorEastAsia" w:eastAsiaTheme="minorEastAsia"/>
                <w:bCs/>
                <w:szCs w:val="21"/>
              </w:rPr>
              <w:t>该医院新科室开业前，行业经理及客户经理积极走访，实时跟进客户业务需求，在现场拜访过程中，多次根据客户的使用场景需求，现场为客户制作5G行业消息宣传模板，为客户演示最终的展示效果，最终达成了合作。在该医院新科室开业前一天发送消息4万条。</w:t>
            </w:r>
          </w:p>
          <w:p w14:paraId="789692B1">
            <w:pPr>
              <w:rPr>
                <w:rFonts w:hint="eastAsia" w:asciiTheme="minorEastAsia" w:hAnsiTheme="minorEastAsia" w:eastAsiaTheme="minorEastAsia"/>
                <w:b/>
                <w:bCs/>
                <w:szCs w:val="21"/>
              </w:rPr>
            </w:pPr>
            <w:r>
              <w:rPr>
                <w:rFonts w:hint="eastAsia" w:asciiTheme="minorEastAsia" w:hAnsiTheme="minorEastAsia" w:eastAsiaTheme="minorEastAsia"/>
                <w:b/>
                <w:bCs/>
                <w:szCs w:val="21"/>
              </w:rPr>
              <w:t>三、售后服务</w:t>
            </w:r>
          </w:p>
          <w:p w14:paraId="6210F417">
            <w:pPr>
              <w:rPr>
                <w:rFonts w:hint="eastAsia" w:asciiTheme="minorEastAsia" w:hAnsiTheme="minorEastAsia" w:eastAsiaTheme="minorEastAsia"/>
                <w:bCs/>
                <w:szCs w:val="21"/>
              </w:rPr>
            </w:pPr>
            <w:r>
              <w:rPr>
                <w:rFonts w:hint="eastAsia" w:asciiTheme="minorEastAsia" w:hAnsiTheme="minorEastAsia" w:eastAsiaTheme="minorEastAsia"/>
                <w:bCs/>
                <w:szCs w:val="21"/>
              </w:rPr>
              <w:t>本次充分利用5G行业消息图文结合多形态展示及直达的渠道优势，向桂林市医学院附属医院会员介绍新科室业务，目前已累计发送6万条，发送一周以来无一例投诉，客户感知较好。客户预计每月发送5G行业消息（含多媒体消息（标准版））10万条，协议期消费约10万元。</w:t>
            </w:r>
          </w:p>
          <w:p w14:paraId="6E80561D">
            <w:pPr>
              <w:rPr>
                <w:rFonts w:asciiTheme="minorEastAsia" w:hAnsiTheme="minorEastAsia" w:eastAsiaTheme="minorEastAsia"/>
                <w:b/>
                <w:bCs/>
                <w:szCs w:val="21"/>
              </w:rPr>
            </w:pPr>
            <w:r>
              <w:rPr>
                <w:rFonts w:hint="eastAsia" w:asciiTheme="minorEastAsia" w:hAnsiTheme="minorEastAsia" w:eastAsiaTheme="minorEastAsia"/>
                <w:b/>
                <w:bCs/>
                <w:szCs w:val="21"/>
              </w:rPr>
              <w:t>四、配图</w:t>
            </w:r>
          </w:p>
          <w:p w14:paraId="16363653">
            <w:pPr>
              <w:jc w:val="left"/>
              <w:rPr>
                <w:rFonts w:asciiTheme="minorEastAsia" w:hAnsiTheme="minorEastAsia" w:eastAsiaTheme="minorEastAsia"/>
                <w:bCs/>
                <w:szCs w:val="21"/>
              </w:rPr>
            </w:pPr>
            <w:r>
              <w:rPr>
                <w:rFonts w:asciiTheme="minorEastAsia" w:hAnsiTheme="minorEastAsia" w:eastAsiaTheme="minorEastAsia"/>
                <w:bCs/>
                <w:szCs w:val="21"/>
              </w:rPr>
              <w:drawing>
                <wp:anchor distT="0" distB="0" distL="114300" distR="114300" simplePos="0" relativeHeight="251659264" behindDoc="1" locked="0" layoutInCell="1" allowOverlap="1">
                  <wp:simplePos x="0" y="0"/>
                  <wp:positionH relativeFrom="column">
                    <wp:posOffset>-17780</wp:posOffset>
                  </wp:positionH>
                  <wp:positionV relativeFrom="paragraph">
                    <wp:posOffset>197485</wp:posOffset>
                  </wp:positionV>
                  <wp:extent cx="1836420" cy="3266440"/>
                  <wp:effectExtent l="0" t="0" r="0" b="0"/>
                  <wp:wrapTight wrapText="bothSides">
                    <wp:wrapPolygon>
                      <wp:start x="0" y="0"/>
                      <wp:lineTo x="0" y="21419"/>
                      <wp:lineTo x="21294" y="21419"/>
                      <wp:lineTo x="21294" y="0"/>
                      <wp:lineTo x="0" y="0"/>
                    </wp:wrapPolygon>
                  </wp:wrapTight>
                  <wp:docPr id="7" name="图片 7" descr="C:\Users\ADMINI~1\AppData\Local\Temp\WeChat Files\a54e781ee3ac4fe20f3c061a265bf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a54e781ee3ac4fe20f3c061a265bf0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47569" cy="3286211"/>
                          </a:xfrm>
                          <a:prstGeom prst="rect">
                            <a:avLst/>
                          </a:prstGeom>
                          <a:noFill/>
                          <a:ln>
                            <a:noFill/>
                          </a:ln>
                        </pic:spPr>
                      </pic:pic>
                    </a:graphicData>
                  </a:graphic>
                </wp:anchor>
              </w:drawing>
            </w:r>
            <w:r>
              <w:rPr>
                <w:rFonts w:asciiTheme="minorEastAsia" w:hAnsiTheme="minorEastAsia" w:eastAsiaTheme="minorEastAsia"/>
                <w:bCs/>
                <w:szCs w:val="21"/>
              </w:rPr>
              <w:drawing>
                <wp:anchor distT="0" distB="0" distL="114300" distR="114300" simplePos="0" relativeHeight="251660288" behindDoc="1" locked="0" layoutInCell="1" allowOverlap="1">
                  <wp:simplePos x="0" y="0"/>
                  <wp:positionH relativeFrom="column">
                    <wp:posOffset>1720215</wp:posOffset>
                  </wp:positionH>
                  <wp:positionV relativeFrom="paragraph">
                    <wp:posOffset>216535</wp:posOffset>
                  </wp:positionV>
                  <wp:extent cx="1876425" cy="3185160"/>
                  <wp:effectExtent l="0" t="0" r="0" b="0"/>
                  <wp:wrapTight wrapText="bothSides">
                    <wp:wrapPolygon>
                      <wp:start x="0" y="0"/>
                      <wp:lineTo x="0" y="21449"/>
                      <wp:lineTo x="21271" y="21449"/>
                      <wp:lineTo x="21271" y="0"/>
                      <wp:lineTo x="0" y="0"/>
                    </wp:wrapPolygon>
                  </wp:wrapTight>
                  <wp:docPr id="5" name="图片 5" descr="C:\Users\ADMINI~1\AppData\Local\Temp\WeChat Files\e97fcc1e2135669e72077a238c587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e97fcc1e2135669e72077a238c587e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84674" cy="3199115"/>
                          </a:xfrm>
                          <a:prstGeom prst="rect">
                            <a:avLst/>
                          </a:prstGeom>
                          <a:noFill/>
                          <a:ln>
                            <a:noFill/>
                          </a:ln>
                        </pic:spPr>
                      </pic:pic>
                    </a:graphicData>
                  </a:graphic>
                </wp:anchor>
              </w:drawing>
            </w:r>
          </w:p>
        </w:tc>
      </w:tr>
    </w:tbl>
    <w:p w14:paraId="60F5C6D0">
      <w:pPr>
        <w:rPr>
          <w:rFonts w:hint="eastAsia" w:ascii="黑体" w:eastAsia="黑体"/>
          <w:b/>
          <w:sz w:val="24"/>
          <w:szCs w:val="16"/>
        </w:rPr>
      </w:pPr>
    </w:p>
    <w:p w14:paraId="1AED485F">
      <w:pPr>
        <w:rPr>
          <w:rFonts w:ascii="黑体" w:eastAsia="黑体"/>
          <w:b/>
          <w:sz w:val="24"/>
          <w:szCs w:val="16"/>
        </w:rPr>
      </w:pP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88"/>
        <w:gridCol w:w="6974"/>
      </w:tblGrid>
      <w:tr w14:paraId="2A4DD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1" w:hRule="atLeast"/>
          <w:jc w:val="center"/>
        </w:trPr>
        <w:tc>
          <w:tcPr>
            <w:tcW w:w="830" w:type="pct"/>
            <w:vAlign w:val="center"/>
          </w:tcPr>
          <w:p w14:paraId="517519CF">
            <w:pPr>
              <w:jc w:val="center"/>
              <w:rPr>
                <w:b/>
                <w:bCs/>
              </w:rPr>
            </w:pPr>
            <w:r>
              <w:rPr>
                <w:rFonts w:hint="eastAsia"/>
                <w:b/>
                <w:bCs/>
              </w:rPr>
              <w:t>案例名称</w:t>
            </w:r>
          </w:p>
        </w:tc>
        <w:tc>
          <w:tcPr>
            <w:tcW w:w="4170" w:type="pct"/>
            <w:tcBorders>
              <w:bottom w:val="single" w:color="auto" w:sz="4" w:space="0"/>
            </w:tcBorders>
            <w:vAlign w:val="center"/>
          </w:tcPr>
          <w:p w14:paraId="0068BF2E">
            <w:pPr>
              <w:jc w:val="left"/>
              <w:rPr>
                <w:bCs/>
              </w:rPr>
            </w:pPr>
            <w:r>
              <w:rPr>
                <w:rFonts w:hint="eastAsia"/>
                <w:bCs/>
              </w:rPr>
              <w:t>南宁市防雷中心5</w:t>
            </w:r>
            <w:r>
              <w:rPr>
                <w:bCs/>
              </w:rPr>
              <w:t>G</w:t>
            </w:r>
            <w:r>
              <w:rPr>
                <w:rFonts w:hint="eastAsia"/>
                <w:bCs/>
              </w:rPr>
              <w:t>行业消息拓展案例</w:t>
            </w:r>
          </w:p>
        </w:tc>
      </w:tr>
      <w:tr w14:paraId="2793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830" w:type="pct"/>
            <w:vAlign w:val="center"/>
          </w:tcPr>
          <w:p w14:paraId="7CB73D76">
            <w:pPr>
              <w:jc w:val="center"/>
              <w:rPr>
                <w:b/>
                <w:bCs/>
              </w:rPr>
            </w:pPr>
            <w:r>
              <w:rPr>
                <w:rFonts w:hint="eastAsia"/>
                <w:b/>
                <w:bCs/>
              </w:rPr>
              <w:t>完成单位</w:t>
            </w:r>
          </w:p>
        </w:tc>
        <w:tc>
          <w:tcPr>
            <w:tcW w:w="4170" w:type="pct"/>
            <w:vAlign w:val="center"/>
          </w:tcPr>
          <w:p w14:paraId="19A1C1EA">
            <w:pPr>
              <w:jc w:val="left"/>
              <w:rPr>
                <w:bCs/>
              </w:rPr>
            </w:pPr>
            <w:r>
              <w:rPr>
                <w:rFonts w:hint="eastAsia"/>
                <w:bCs/>
              </w:rPr>
              <w:t>中国移动广西公司南宁公司</w:t>
            </w:r>
          </w:p>
        </w:tc>
      </w:tr>
      <w:tr w14:paraId="36AD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4" w:hRule="atLeast"/>
          <w:jc w:val="center"/>
        </w:trPr>
        <w:tc>
          <w:tcPr>
            <w:tcW w:w="830" w:type="pct"/>
            <w:vAlign w:val="center"/>
          </w:tcPr>
          <w:p w14:paraId="1C1FAD8D">
            <w:pPr>
              <w:jc w:val="center"/>
              <w:rPr>
                <w:b/>
                <w:bCs/>
              </w:rPr>
            </w:pPr>
            <w:r>
              <w:rPr>
                <w:rFonts w:hint="eastAsia"/>
                <w:b/>
                <w:bCs/>
              </w:rPr>
              <w:t>项目联系人</w:t>
            </w:r>
          </w:p>
        </w:tc>
        <w:tc>
          <w:tcPr>
            <w:tcW w:w="4170" w:type="pct"/>
            <w:vAlign w:val="center"/>
          </w:tcPr>
          <w:p w14:paraId="7D94E89B">
            <w:pPr>
              <w:jc w:val="left"/>
              <w:rPr>
                <w:bCs/>
              </w:rPr>
            </w:pPr>
            <w:r>
              <w:rPr>
                <w:rFonts w:hint="eastAsia"/>
                <w:bCs/>
              </w:rPr>
              <w:t>李水寅，18877111123</w:t>
            </w:r>
          </w:p>
        </w:tc>
      </w:tr>
      <w:tr w14:paraId="6E44F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1" w:hRule="exact"/>
          <w:jc w:val="center"/>
        </w:trPr>
        <w:tc>
          <w:tcPr>
            <w:tcW w:w="830" w:type="pct"/>
            <w:vAlign w:val="center"/>
          </w:tcPr>
          <w:p w14:paraId="18BCFA85">
            <w:pPr>
              <w:jc w:val="center"/>
              <w:rPr>
                <w:b/>
                <w:bCs/>
              </w:rPr>
            </w:pPr>
            <w:r>
              <w:rPr>
                <w:rFonts w:hint="eastAsia"/>
                <w:b/>
                <w:bCs/>
              </w:rPr>
              <w:t>案例概述</w:t>
            </w:r>
          </w:p>
        </w:tc>
        <w:tc>
          <w:tcPr>
            <w:tcW w:w="4170" w:type="pct"/>
          </w:tcPr>
          <w:p w14:paraId="78BA55F7">
            <w:pPr>
              <w:jc w:val="left"/>
              <w:rPr>
                <w:bCs/>
              </w:rPr>
            </w:pPr>
            <w:r>
              <w:rPr>
                <w:rFonts w:hint="eastAsia"/>
                <w:bCs/>
              </w:rPr>
              <w:t>南宁市防雷中心预计发送5G行业消息（含多媒体消息（标准版））应用于防雷防灾气象预警，预计每月5000条，协议期消费约1万元。</w:t>
            </w:r>
          </w:p>
        </w:tc>
      </w:tr>
      <w:tr w14:paraId="19008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6" w:hRule="exact"/>
          <w:jc w:val="center"/>
        </w:trPr>
        <w:tc>
          <w:tcPr>
            <w:tcW w:w="830" w:type="pct"/>
            <w:vAlign w:val="center"/>
          </w:tcPr>
          <w:p w14:paraId="4242DE81">
            <w:pPr>
              <w:jc w:val="center"/>
              <w:rPr>
                <w:b/>
                <w:bCs/>
              </w:rPr>
            </w:pPr>
            <w:r>
              <w:rPr>
                <w:rFonts w:hint="eastAsia"/>
                <w:b/>
                <w:bCs/>
              </w:rPr>
              <w:t>案例详细内容</w:t>
            </w:r>
          </w:p>
        </w:tc>
        <w:tc>
          <w:tcPr>
            <w:tcW w:w="4170" w:type="pct"/>
          </w:tcPr>
          <w:p w14:paraId="6EFB8106">
            <w:pPr>
              <w:rPr>
                <w:rFonts w:hint="eastAsia" w:asciiTheme="minorEastAsia" w:hAnsiTheme="minorEastAsia" w:eastAsiaTheme="minorEastAsia"/>
                <w:b/>
                <w:bCs/>
                <w:szCs w:val="21"/>
              </w:rPr>
            </w:pPr>
            <w:r>
              <w:rPr>
                <w:rFonts w:hint="eastAsia" w:asciiTheme="minorEastAsia" w:hAnsiTheme="minorEastAsia" w:eastAsiaTheme="minorEastAsia"/>
                <w:b/>
                <w:bCs/>
                <w:szCs w:val="21"/>
              </w:rPr>
              <w:t>一、售前需求获取</w:t>
            </w:r>
          </w:p>
          <w:p w14:paraId="72BED270">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前期南宁市防雷中心一直有使用我公司集团短彩业务，客户对原使用微信公众号小程序在防雷防灾预警下发、灾情上报、满意度调查等效果不是十分满意。</w:t>
            </w:r>
          </w:p>
          <w:p w14:paraId="17C7EB04">
            <w:pPr>
              <w:rPr>
                <w:rFonts w:hint="eastAsia" w:asciiTheme="minorEastAsia" w:hAnsiTheme="minorEastAsia" w:eastAsiaTheme="minorEastAsia"/>
                <w:b/>
                <w:bCs/>
                <w:szCs w:val="21"/>
              </w:rPr>
            </w:pPr>
            <w:r>
              <w:rPr>
                <w:rFonts w:hint="eastAsia" w:asciiTheme="minorEastAsia" w:hAnsiTheme="minorEastAsia" w:eastAsiaTheme="minorEastAsia"/>
                <w:b/>
                <w:bCs/>
                <w:szCs w:val="21"/>
              </w:rPr>
              <w:t>二、售中走访</w:t>
            </w:r>
          </w:p>
          <w:p w14:paraId="698DC1E4">
            <w:pPr>
              <w:rPr>
                <w:rFonts w:hint="eastAsia" w:asciiTheme="minorEastAsia" w:hAnsiTheme="minorEastAsia" w:eastAsiaTheme="minorEastAsia"/>
                <w:bCs/>
                <w:szCs w:val="21"/>
              </w:rPr>
            </w:pPr>
            <w:r>
              <w:rPr>
                <w:rFonts w:hint="eastAsia" w:asciiTheme="minorEastAsia" w:hAnsiTheme="minorEastAsia" w:eastAsiaTheme="minorEastAsia"/>
                <w:bCs/>
                <w:szCs w:val="21"/>
              </w:rPr>
              <w:t xml:space="preserve">   我公司将5G行业消息应用场景及免安装、免关注的优势进行现场演示，推荐客户将现有的微信公众号功能复制至5G行业消息上实现强推送，通过5G行业消息能够更精确地推送和收集灾情上报信息；并与传统短信、彩信比对效果，直击客户痛点，成功达成合作。</w:t>
            </w:r>
          </w:p>
          <w:p w14:paraId="1BCCE636">
            <w:pPr>
              <w:rPr>
                <w:rFonts w:hint="eastAsia" w:asciiTheme="minorEastAsia" w:hAnsiTheme="minorEastAsia" w:eastAsiaTheme="minorEastAsia"/>
                <w:b/>
                <w:bCs/>
                <w:szCs w:val="21"/>
              </w:rPr>
            </w:pPr>
            <w:r>
              <w:rPr>
                <w:rFonts w:hint="eastAsia" w:asciiTheme="minorEastAsia" w:hAnsiTheme="minorEastAsia" w:eastAsiaTheme="minorEastAsia"/>
                <w:b/>
                <w:bCs/>
                <w:szCs w:val="21"/>
              </w:rPr>
              <w:t>三、合作达成</w:t>
            </w:r>
          </w:p>
          <w:p w14:paraId="1C8A6F03">
            <w:pPr>
              <w:rPr>
                <w:rFonts w:hint="eastAsia" w:asciiTheme="minorEastAsia" w:hAnsiTheme="minorEastAsia" w:eastAsiaTheme="minorEastAsia"/>
                <w:bCs/>
                <w:szCs w:val="21"/>
              </w:rPr>
            </w:pPr>
            <w:r>
              <w:rPr>
                <w:rFonts w:hint="eastAsia" w:asciiTheme="minorEastAsia" w:hAnsiTheme="minorEastAsia" w:eastAsiaTheme="minorEastAsia"/>
                <w:bCs/>
                <w:szCs w:val="21"/>
              </w:rPr>
              <w:t>目前，南宁市防雷中心5G行业消息合作协议正在签约中。客户预计每月发送5G行业消息（含多媒体消息（标准版））5000条，协议期消费约1万元。</w:t>
            </w:r>
          </w:p>
          <w:p w14:paraId="18802F56">
            <w:pPr>
              <w:rPr>
                <w:rFonts w:asciiTheme="minorEastAsia" w:hAnsiTheme="minorEastAsia" w:eastAsiaTheme="minorEastAsia"/>
                <w:b/>
                <w:bCs/>
                <w:szCs w:val="21"/>
              </w:rPr>
            </w:pPr>
            <w:r>
              <w:rPr>
                <w:rFonts w:hint="eastAsia" w:asciiTheme="minorEastAsia" w:hAnsiTheme="minorEastAsia" w:eastAsiaTheme="minorEastAsia"/>
                <w:b/>
                <w:bCs/>
                <w:szCs w:val="21"/>
              </w:rPr>
              <w:t>四、配图</w:t>
            </w:r>
          </w:p>
          <w:p w14:paraId="56A776BF">
            <w:pPr>
              <w:rPr>
                <w:rFonts w:asciiTheme="minorEastAsia" w:hAnsiTheme="minorEastAsia" w:eastAsiaTheme="minorEastAsia"/>
                <w:bCs/>
                <w:szCs w:val="21"/>
              </w:rPr>
            </w:pPr>
            <w:r>
              <w:rPr>
                <w:rFonts w:ascii="宋体" w:hAnsi="宋体"/>
                <w:bCs/>
                <w:szCs w:val="21"/>
              </w:rPr>
              <w:drawing>
                <wp:inline distT="0" distB="0" distL="0" distR="0">
                  <wp:extent cx="1884045" cy="4079875"/>
                  <wp:effectExtent l="19050" t="0" r="1772" b="0"/>
                  <wp:docPr id="1" name="图片 1" descr="C:\Users\ADMINI~1\AppData\Local\Temp\WeChat Files\37462e49392a7f5f192be9ab19ecf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37462e49392a7f5f192be9ab19ecfd4.jpg"/>
                          <pic:cNvPicPr>
                            <a:picLocks noChangeAspect="1" noChangeArrowheads="1"/>
                          </pic:cNvPicPr>
                        </pic:nvPicPr>
                        <pic:blipFill>
                          <a:blip r:embed="rId6" cstate="print"/>
                          <a:srcRect/>
                          <a:stretch>
                            <a:fillRect/>
                          </a:stretch>
                        </pic:blipFill>
                        <pic:spPr>
                          <a:xfrm>
                            <a:off x="0" y="0"/>
                            <a:ext cx="1891439" cy="4095625"/>
                          </a:xfrm>
                          <a:prstGeom prst="rect">
                            <a:avLst/>
                          </a:prstGeom>
                          <a:noFill/>
                          <a:ln w="9525">
                            <a:noFill/>
                            <a:miter lim="800000"/>
                            <a:headEnd/>
                            <a:tailEnd/>
                          </a:ln>
                        </pic:spPr>
                      </pic:pic>
                    </a:graphicData>
                  </a:graphic>
                </wp:inline>
              </w:drawing>
            </w:r>
            <w:r>
              <w:rPr>
                <w:rFonts w:ascii="宋体" w:hAnsi="宋体"/>
                <w:bCs/>
                <w:szCs w:val="21"/>
              </w:rPr>
              <w:drawing>
                <wp:inline distT="0" distB="0" distL="0" distR="0">
                  <wp:extent cx="2053590" cy="4082415"/>
                  <wp:effectExtent l="19050" t="0" r="3737" b="0"/>
                  <wp:docPr id="2" name="图片 2" descr="C:\Users\ADMINI~1\AppData\Local\Temp\WeChat Files\352f1bf5882b69a51c793e8e06bb5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352f1bf5882b69a51c793e8e06bb5b7.jpg"/>
                          <pic:cNvPicPr>
                            <a:picLocks noChangeAspect="1" noChangeArrowheads="1"/>
                          </pic:cNvPicPr>
                        </pic:nvPicPr>
                        <pic:blipFill>
                          <a:blip r:embed="rId7" cstate="print"/>
                          <a:srcRect t="8353"/>
                          <a:stretch>
                            <a:fillRect/>
                          </a:stretch>
                        </pic:blipFill>
                        <pic:spPr>
                          <a:xfrm>
                            <a:off x="0" y="0"/>
                            <a:ext cx="2053663" cy="4082902"/>
                          </a:xfrm>
                          <a:prstGeom prst="rect">
                            <a:avLst/>
                          </a:prstGeom>
                          <a:noFill/>
                          <a:ln w="9525">
                            <a:noFill/>
                            <a:miter lim="800000"/>
                            <a:headEnd/>
                            <a:tailEnd/>
                          </a:ln>
                        </pic:spPr>
                      </pic:pic>
                    </a:graphicData>
                  </a:graphic>
                </wp:inline>
              </w:drawing>
            </w:r>
          </w:p>
          <w:p w14:paraId="269278A2">
            <w:pPr>
              <w:jc w:val="left"/>
              <w:rPr>
                <w:rFonts w:hint="eastAsia" w:asciiTheme="minorEastAsia" w:hAnsiTheme="minorEastAsia" w:eastAsiaTheme="minorEastAsia"/>
                <w:bCs/>
                <w:szCs w:val="21"/>
              </w:rPr>
            </w:pPr>
          </w:p>
        </w:tc>
      </w:tr>
    </w:tbl>
    <w:p w14:paraId="4FECB5A4">
      <w:pPr>
        <w:rPr>
          <w:rFonts w:ascii="黑体" w:eastAsia="黑体"/>
          <w:b/>
          <w:sz w:val="24"/>
          <w:szCs w:val="16"/>
        </w:rPr>
      </w:pP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88"/>
        <w:gridCol w:w="6974"/>
      </w:tblGrid>
      <w:tr w14:paraId="22BC8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1" w:hRule="atLeast"/>
          <w:jc w:val="center"/>
        </w:trPr>
        <w:tc>
          <w:tcPr>
            <w:tcW w:w="830" w:type="pct"/>
            <w:vAlign w:val="center"/>
          </w:tcPr>
          <w:p w14:paraId="44A01AAE">
            <w:pPr>
              <w:jc w:val="center"/>
              <w:rPr>
                <w:b/>
                <w:bCs/>
              </w:rPr>
            </w:pPr>
            <w:r>
              <w:rPr>
                <w:rFonts w:hint="eastAsia"/>
                <w:b/>
                <w:bCs/>
              </w:rPr>
              <w:t>案例名称</w:t>
            </w:r>
          </w:p>
        </w:tc>
        <w:tc>
          <w:tcPr>
            <w:tcW w:w="4170" w:type="pct"/>
            <w:tcBorders>
              <w:bottom w:val="single" w:color="auto" w:sz="4" w:space="0"/>
            </w:tcBorders>
            <w:vAlign w:val="center"/>
          </w:tcPr>
          <w:p w14:paraId="788668B3">
            <w:pPr>
              <w:jc w:val="left"/>
              <w:rPr>
                <w:bCs/>
              </w:rPr>
            </w:pPr>
            <w:r>
              <w:rPr>
                <w:rFonts w:hint="eastAsia"/>
                <w:bCs/>
              </w:rPr>
              <w:t>扬州市江都区安全生产监督管理局5</w:t>
            </w:r>
            <w:r>
              <w:rPr>
                <w:bCs/>
              </w:rPr>
              <w:t>G</w:t>
            </w:r>
            <w:r>
              <w:rPr>
                <w:rFonts w:hint="eastAsia"/>
                <w:bCs/>
              </w:rPr>
              <w:t>行业消息拓展案例</w:t>
            </w:r>
          </w:p>
        </w:tc>
      </w:tr>
      <w:tr w14:paraId="6C96E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830" w:type="pct"/>
            <w:vAlign w:val="center"/>
          </w:tcPr>
          <w:p w14:paraId="3937BC09">
            <w:pPr>
              <w:jc w:val="center"/>
              <w:rPr>
                <w:b/>
                <w:bCs/>
              </w:rPr>
            </w:pPr>
            <w:r>
              <w:rPr>
                <w:rFonts w:hint="eastAsia"/>
                <w:b/>
                <w:bCs/>
              </w:rPr>
              <w:t>完成单位</w:t>
            </w:r>
          </w:p>
        </w:tc>
        <w:tc>
          <w:tcPr>
            <w:tcW w:w="4170" w:type="pct"/>
            <w:vAlign w:val="center"/>
          </w:tcPr>
          <w:p w14:paraId="6E645DDA">
            <w:pPr>
              <w:jc w:val="left"/>
              <w:rPr>
                <w:bCs/>
              </w:rPr>
            </w:pPr>
            <w:r>
              <w:rPr>
                <w:rFonts w:hint="eastAsia"/>
                <w:bCs/>
              </w:rPr>
              <w:t>中国移动江苏公司扬州分公司</w:t>
            </w:r>
          </w:p>
        </w:tc>
      </w:tr>
      <w:tr w14:paraId="055C2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4" w:hRule="atLeast"/>
          <w:jc w:val="center"/>
        </w:trPr>
        <w:tc>
          <w:tcPr>
            <w:tcW w:w="830" w:type="pct"/>
            <w:vAlign w:val="center"/>
          </w:tcPr>
          <w:p w14:paraId="2910FDBC">
            <w:pPr>
              <w:jc w:val="center"/>
              <w:rPr>
                <w:b/>
                <w:bCs/>
              </w:rPr>
            </w:pPr>
            <w:r>
              <w:rPr>
                <w:rFonts w:hint="eastAsia"/>
                <w:b/>
                <w:bCs/>
              </w:rPr>
              <w:t>项目联系人</w:t>
            </w:r>
          </w:p>
        </w:tc>
        <w:tc>
          <w:tcPr>
            <w:tcW w:w="4170" w:type="pct"/>
            <w:vAlign w:val="center"/>
          </w:tcPr>
          <w:p w14:paraId="6D887657">
            <w:pPr>
              <w:jc w:val="left"/>
              <w:rPr>
                <w:bCs/>
              </w:rPr>
            </w:pPr>
            <w:r>
              <w:rPr>
                <w:rFonts w:hint="eastAsia"/>
                <w:bCs/>
              </w:rPr>
              <w:t>张莉 15995120616</w:t>
            </w:r>
            <w:r>
              <w:rPr>
                <w:bCs/>
              </w:rPr>
              <w:t xml:space="preserve"> </w:t>
            </w:r>
            <w:r>
              <w:rPr>
                <w:rFonts w:hint="eastAsia"/>
                <w:bCs/>
              </w:rPr>
              <w:t xml:space="preserve"> zhangli@js.chinamobile.com</w:t>
            </w:r>
          </w:p>
        </w:tc>
      </w:tr>
      <w:tr w14:paraId="3FB58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06" w:hRule="exact"/>
          <w:jc w:val="center"/>
        </w:trPr>
        <w:tc>
          <w:tcPr>
            <w:tcW w:w="830" w:type="pct"/>
            <w:vAlign w:val="center"/>
          </w:tcPr>
          <w:p w14:paraId="43FF0A38">
            <w:pPr>
              <w:jc w:val="center"/>
              <w:rPr>
                <w:b/>
                <w:bCs/>
              </w:rPr>
            </w:pPr>
            <w:r>
              <w:rPr>
                <w:rFonts w:hint="eastAsia"/>
                <w:b/>
                <w:bCs/>
              </w:rPr>
              <w:t>案例概述</w:t>
            </w:r>
          </w:p>
        </w:tc>
        <w:tc>
          <w:tcPr>
            <w:tcW w:w="4170" w:type="pct"/>
          </w:tcPr>
          <w:p w14:paraId="4D8E3B29">
            <w:pPr>
              <w:jc w:val="left"/>
              <w:rPr>
                <w:bCs/>
              </w:rPr>
            </w:pPr>
            <w:r>
              <w:rPr>
                <w:rFonts w:hint="eastAsia"/>
                <w:bCs/>
              </w:rPr>
              <w:t>江都区安全生产监督管理局累计发送10万条5G多媒体消息（标准版），对辖区内企业普及“安全生产月”知识。</w:t>
            </w:r>
          </w:p>
        </w:tc>
      </w:tr>
      <w:tr w14:paraId="791D4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221" w:hRule="exact"/>
          <w:jc w:val="center"/>
        </w:trPr>
        <w:tc>
          <w:tcPr>
            <w:tcW w:w="830" w:type="pct"/>
            <w:vAlign w:val="center"/>
          </w:tcPr>
          <w:p w14:paraId="3A69FC72">
            <w:pPr>
              <w:jc w:val="center"/>
              <w:rPr>
                <w:b/>
                <w:bCs/>
              </w:rPr>
            </w:pPr>
            <w:r>
              <w:rPr>
                <w:rFonts w:hint="eastAsia"/>
                <w:b/>
                <w:bCs/>
              </w:rPr>
              <w:t>案例详细内容</w:t>
            </w:r>
          </w:p>
        </w:tc>
        <w:tc>
          <w:tcPr>
            <w:tcW w:w="4170" w:type="pct"/>
          </w:tcPr>
          <w:p w14:paraId="4B51EABB">
            <w:pPr>
              <w:rPr>
                <w:rFonts w:asciiTheme="minorEastAsia" w:hAnsiTheme="minorEastAsia" w:eastAsiaTheme="minorEastAsia"/>
                <w:b/>
                <w:bCs/>
                <w:szCs w:val="21"/>
              </w:rPr>
            </w:pPr>
            <w:r>
              <w:rPr>
                <w:rFonts w:hint="eastAsia" w:asciiTheme="minorEastAsia" w:hAnsiTheme="minorEastAsia" w:eastAsiaTheme="minorEastAsia"/>
                <w:b/>
                <w:bCs/>
                <w:szCs w:val="21"/>
              </w:rPr>
              <w:t>一、售前需求获取</w:t>
            </w:r>
          </w:p>
          <w:p w14:paraId="107ED9C9">
            <w:pPr>
              <w:rPr>
                <w:rFonts w:asciiTheme="minorEastAsia" w:hAnsiTheme="minorEastAsia" w:eastAsiaTheme="minorEastAsia"/>
                <w:bCs/>
                <w:szCs w:val="21"/>
              </w:rPr>
            </w:pPr>
            <w:r>
              <w:rPr>
                <w:rFonts w:hint="eastAsia" w:asciiTheme="minorEastAsia" w:hAnsiTheme="minorEastAsia" w:eastAsiaTheme="minorEastAsia"/>
                <w:bCs/>
                <w:szCs w:val="21"/>
              </w:rPr>
              <w:t>针对近期湖北十堰发生的燃气爆炸事故，结合本月是全国第20个“安全生产月”，江都、宝应政企客户经理积极走访客户，及时向客户介绍我公司5G多媒体消息（标准版）业务，并进行现场演示，通过图文结合的模式获得了集团领导的认可，最终成功签定2年合作协议。</w:t>
            </w:r>
          </w:p>
          <w:p w14:paraId="0D20966E">
            <w:pPr>
              <w:rPr>
                <w:rFonts w:asciiTheme="minorEastAsia" w:hAnsiTheme="minorEastAsia" w:eastAsiaTheme="minorEastAsia"/>
                <w:b/>
                <w:bCs/>
                <w:szCs w:val="21"/>
              </w:rPr>
            </w:pPr>
            <w:r>
              <w:rPr>
                <w:rFonts w:hint="eastAsia" w:asciiTheme="minorEastAsia" w:hAnsiTheme="minorEastAsia" w:eastAsiaTheme="minorEastAsia"/>
                <w:b/>
                <w:bCs/>
                <w:szCs w:val="21"/>
              </w:rPr>
              <w:t>二、售中走访</w:t>
            </w:r>
          </w:p>
          <w:p w14:paraId="61B0D016">
            <w:pPr>
              <w:rPr>
                <w:rFonts w:asciiTheme="minorEastAsia" w:hAnsiTheme="minorEastAsia" w:eastAsiaTheme="minorEastAsia"/>
                <w:bCs/>
                <w:szCs w:val="21"/>
              </w:rPr>
            </w:pPr>
            <w:r>
              <w:rPr>
                <w:rFonts w:hint="eastAsia" w:asciiTheme="minorEastAsia" w:hAnsiTheme="minorEastAsia" w:eastAsiaTheme="minorEastAsia"/>
                <w:bCs/>
                <w:szCs w:val="21"/>
              </w:rPr>
              <w:t>6月是全国第20个“安全生产月”，客户经理紧抓节日热点，积极走访政府、消防等行业，推荐我公司5G多媒体消息产品，现场为客户制作5G视频短信宣传模板，为客户演示最终的展示效果，客户满意，最终达成了合作。</w:t>
            </w:r>
          </w:p>
          <w:p w14:paraId="37ABB71A">
            <w:pPr>
              <w:rPr>
                <w:rFonts w:asciiTheme="minorEastAsia" w:hAnsiTheme="minorEastAsia" w:eastAsiaTheme="minorEastAsia"/>
                <w:b/>
                <w:bCs/>
                <w:szCs w:val="21"/>
              </w:rPr>
            </w:pPr>
            <w:r>
              <w:rPr>
                <w:rFonts w:hint="eastAsia" w:asciiTheme="minorEastAsia" w:hAnsiTheme="minorEastAsia" w:eastAsiaTheme="minorEastAsia"/>
                <w:b/>
                <w:bCs/>
                <w:szCs w:val="21"/>
              </w:rPr>
              <w:t>三、售后服务</w:t>
            </w:r>
          </w:p>
          <w:p w14:paraId="3A8A4DA6">
            <w:pPr>
              <w:rPr>
                <w:rFonts w:asciiTheme="minorEastAsia" w:hAnsiTheme="minorEastAsia" w:eastAsiaTheme="minorEastAsia"/>
                <w:bCs/>
                <w:szCs w:val="21"/>
              </w:rPr>
            </w:pPr>
            <w:r>
              <w:rPr>
                <w:rFonts w:hint="eastAsia" w:asciiTheme="minorEastAsia" w:hAnsiTheme="minorEastAsia" w:eastAsiaTheme="minorEastAsia"/>
                <w:bCs/>
                <w:szCs w:val="21"/>
              </w:rPr>
              <w:t>本次充分利用5G多媒体消息渠道，向扬州市辖区企业用户普及“安全生产月”相关知识，围绕“落实安全责任、推动安全发展”主题，提醒企业做好今年“安全生产月”的各项工作，目前已累计发送10万条，客户感知较好。该案例紧贴实时热点事件，为以后重要事件推广方面具有较强的标杆意义。</w:t>
            </w:r>
          </w:p>
          <w:p w14:paraId="4793FD2D">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四、配图</w:t>
            </w:r>
          </w:p>
          <w:p w14:paraId="4C058925">
            <w:pPr>
              <w:jc w:val="left"/>
              <w:rPr>
                <w:rFonts w:ascii="仿宋" w:hAnsi="仿宋" w:eastAsia="仿宋" w:cs="仿宋"/>
                <w:b/>
                <w:bCs/>
                <w:sz w:val="30"/>
                <w:szCs w:val="30"/>
              </w:rPr>
            </w:pPr>
            <w:r>
              <w:rPr>
                <w:rFonts w:ascii="Calibri" w:hAnsi="Calibri"/>
                <w:szCs w:val="24"/>
              </w:rPr>
              <w:drawing>
                <wp:inline distT="0" distB="0" distL="114300" distR="114300">
                  <wp:extent cx="1735455" cy="32340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tretch>
                            <a:fillRect/>
                          </a:stretch>
                        </pic:blipFill>
                        <pic:spPr>
                          <a:xfrm>
                            <a:off x="0" y="0"/>
                            <a:ext cx="1744450" cy="3250217"/>
                          </a:xfrm>
                          <a:prstGeom prst="rect">
                            <a:avLst/>
                          </a:prstGeom>
                          <a:noFill/>
                          <a:ln w="9525">
                            <a:noFill/>
                          </a:ln>
                        </pic:spPr>
                      </pic:pic>
                    </a:graphicData>
                  </a:graphic>
                </wp:inline>
              </w:drawing>
            </w:r>
            <w:r>
              <w:rPr>
                <w:rFonts w:ascii="Calibri" w:hAnsi="Calibri"/>
                <w:szCs w:val="24"/>
              </w:rPr>
              <w:drawing>
                <wp:inline distT="0" distB="0" distL="114300" distR="114300">
                  <wp:extent cx="1671320" cy="32169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stretch>
                            <a:fillRect/>
                          </a:stretch>
                        </pic:blipFill>
                        <pic:spPr>
                          <a:xfrm>
                            <a:off x="0" y="0"/>
                            <a:ext cx="1687201" cy="3246483"/>
                          </a:xfrm>
                          <a:prstGeom prst="rect">
                            <a:avLst/>
                          </a:prstGeom>
                          <a:noFill/>
                          <a:ln w="9525">
                            <a:noFill/>
                          </a:ln>
                        </pic:spPr>
                      </pic:pic>
                    </a:graphicData>
                  </a:graphic>
                </wp:inline>
              </w:drawing>
            </w:r>
          </w:p>
        </w:tc>
      </w:tr>
    </w:tbl>
    <w:p w14:paraId="41DBE7BB">
      <w:pPr>
        <w:rPr>
          <w:rFonts w:ascii="黑体" w:eastAsia="黑体"/>
          <w:b/>
          <w:sz w:val="24"/>
          <w:szCs w:val="16"/>
        </w:rPr>
      </w:pPr>
    </w:p>
    <w:p w14:paraId="69D54490">
      <w:pPr>
        <w:rPr>
          <w:rFonts w:hint="eastAsia" w:ascii="黑体" w:eastAsia="黑体"/>
          <w:b/>
          <w:sz w:val="24"/>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15A0"/>
    <w:rsid w:val="00004499"/>
    <w:rsid w:val="00010E31"/>
    <w:rsid w:val="00025963"/>
    <w:rsid w:val="000361DE"/>
    <w:rsid w:val="000444B1"/>
    <w:rsid w:val="000461DB"/>
    <w:rsid w:val="0005273F"/>
    <w:rsid w:val="00062FB5"/>
    <w:rsid w:val="00080C1A"/>
    <w:rsid w:val="00083DFA"/>
    <w:rsid w:val="00091CEC"/>
    <w:rsid w:val="000E574D"/>
    <w:rsid w:val="000E73E5"/>
    <w:rsid w:val="00106A57"/>
    <w:rsid w:val="00176455"/>
    <w:rsid w:val="00180CEE"/>
    <w:rsid w:val="001C24AA"/>
    <w:rsid w:val="001F672E"/>
    <w:rsid w:val="00223508"/>
    <w:rsid w:val="00240DF1"/>
    <w:rsid w:val="00264D9A"/>
    <w:rsid w:val="00273516"/>
    <w:rsid w:val="002867A5"/>
    <w:rsid w:val="002A7B28"/>
    <w:rsid w:val="002B3FE4"/>
    <w:rsid w:val="002D16D9"/>
    <w:rsid w:val="002E6B29"/>
    <w:rsid w:val="00345D92"/>
    <w:rsid w:val="00390717"/>
    <w:rsid w:val="00396EB6"/>
    <w:rsid w:val="003A3A54"/>
    <w:rsid w:val="003A77CE"/>
    <w:rsid w:val="003B0E8A"/>
    <w:rsid w:val="003B60C9"/>
    <w:rsid w:val="003D7A73"/>
    <w:rsid w:val="003E02B3"/>
    <w:rsid w:val="003E39A8"/>
    <w:rsid w:val="00437E23"/>
    <w:rsid w:val="00447F3B"/>
    <w:rsid w:val="00450A6F"/>
    <w:rsid w:val="00461687"/>
    <w:rsid w:val="0047414D"/>
    <w:rsid w:val="00493B01"/>
    <w:rsid w:val="004940F1"/>
    <w:rsid w:val="00497B74"/>
    <w:rsid w:val="004B7605"/>
    <w:rsid w:val="004D0769"/>
    <w:rsid w:val="004E3E14"/>
    <w:rsid w:val="004F6DF1"/>
    <w:rsid w:val="004F7092"/>
    <w:rsid w:val="00530C14"/>
    <w:rsid w:val="00537469"/>
    <w:rsid w:val="00553626"/>
    <w:rsid w:val="00557689"/>
    <w:rsid w:val="005619AB"/>
    <w:rsid w:val="005C04A1"/>
    <w:rsid w:val="005C6BD7"/>
    <w:rsid w:val="005F2D1C"/>
    <w:rsid w:val="006106B5"/>
    <w:rsid w:val="0063179A"/>
    <w:rsid w:val="0064275B"/>
    <w:rsid w:val="00682292"/>
    <w:rsid w:val="00683576"/>
    <w:rsid w:val="006B41F2"/>
    <w:rsid w:val="006F09F5"/>
    <w:rsid w:val="00705046"/>
    <w:rsid w:val="00712946"/>
    <w:rsid w:val="007220CD"/>
    <w:rsid w:val="007615A0"/>
    <w:rsid w:val="00771A93"/>
    <w:rsid w:val="007802D2"/>
    <w:rsid w:val="00781500"/>
    <w:rsid w:val="007C44C3"/>
    <w:rsid w:val="007F7BAC"/>
    <w:rsid w:val="008A202C"/>
    <w:rsid w:val="008A218F"/>
    <w:rsid w:val="008A6E97"/>
    <w:rsid w:val="008B2CEC"/>
    <w:rsid w:val="008B5601"/>
    <w:rsid w:val="008B6EBE"/>
    <w:rsid w:val="008C3950"/>
    <w:rsid w:val="008D7420"/>
    <w:rsid w:val="008E6071"/>
    <w:rsid w:val="008F1EC7"/>
    <w:rsid w:val="00915043"/>
    <w:rsid w:val="00917C47"/>
    <w:rsid w:val="00946E05"/>
    <w:rsid w:val="009619CE"/>
    <w:rsid w:val="00980571"/>
    <w:rsid w:val="00995FBC"/>
    <w:rsid w:val="009A104D"/>
    <w:rsid w:val="009A7AC4"/>
    <w:rsid w:val="009C0921"/>
    <w:rsid w:val="009E2731"/>
    <w:rsid w:val="009F6BE2"/>
    <w:rsid w:val="00A03B24"/>
    <w:rsid w:val="00A06181"/>
    <w:rsid w:val="00A52358"/>
    <w:rsid w:val="00A67CDA"/>
    <w:rsid w:val="00A70F2F"/>
    <w:rsid w:val="00A8347F"/>
    <w:rsid w:val="00A90EC2"/>
    <w:rsid w:val="00AD16EB"/>
    <w:rsid w:val="00AD5B3D"/>
    <w:rsid w:val="00AD733B"/>
    <w:rsid w:val="00AE7BFA"/>
    <w:rsid w:val="00AF4E6C"/>
    <w:rsid w:val="00AF6ABE"/>
    <w:rsid w:val="00AF7FCB"/>
    <w:rsid w:val="00B0090A"/>
    <w:rsid w:val="00B42A24"/>
    <w:rsid w:val="00B43EA7"/>
    <w:rsid w:val="00B538E8"/>
    <w:rsid w:val="00B63AB6"/>
    <w:rsid w:val="00BD0B8F"/>
    <w:rsid w:val="00BD4680"/>
    <w:rsid w:val="00BE0F3B"/>
    <w:rsid w:val="00BF260A"/>
    <w:rsid w:val="00C06E53"/>
    <w:rsid w:val="00C20975"/>
    <w:rsid w:val="00C221F8"/>
    <w:rsid w:val="00C231C6"/>
    <w:rsid w:val="00C2391C"/>
    <w:rsid w:val="00C26B30"/>
    <w:rsid w:val="00C5176D"/>
    <w:rsid w:val="00C70661"/>
    <w:rsid w:val="00C8511E"/>
    <w:rsid w:val="00CC5715"/>
    <w:rsid w:val="00CE2CC2"/>
    <w:rsid w:val="00D03A16"/>
    <w:rsid w:val="00D40174"/>
    <w:rsid w:val="00D652E5"/>
    <w:rsid w:val="00D67E70"/>
    <w:rsid w:val="00D85E2D"/>
    <w:rsid w:val="00DC0EBA"/>
    <w:rsid w:val="00DF6958"/>
    <w:rsid w:val="00E24EC9"/>
    <w:rsid w:val="00E33279"/>
    <w:rsid w:val="00E77DD0"/>
    <w:rsid w:val="00E9257A"/>
    <w:rsid w:val="00EC2095"/>
    <w:rsid w:val="00EC5B65"/>
    <w:rsid w:val="00F03899"/>
    <w:rsid w:val="00F233CC"/>
    <w:rsid w:val="00F412BC"/>
    <w:rsid w:val="00F52069"/>
    <w:rsid w:val="00F6467A"/>
    <w:rsid w:val="00FA2E0E"/>
    <w:rsid w:val="00FD25F2"/>
    <w:rsid w:val="00FF1E9E"/>
    <w:rsid w:val="00FF5CF5"/>
    <w:rsid w:val="5112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0"/>
    <w:pPr>
      <w:spacing w:line="360" w:lineRule="auto"/>
      <w:ind w:firstLine="720"/>
    </w:pPr>
    <w:rPr>
      <w:rFonts w:ascii="仿宋_GB2312" w:eastAsia="仿宋_GB2312"/>
      <w:sz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缩进 2 Char"/>
    <w:basedOn w:val="6"/>
    <w:link w:val="2"/>
    <w:qFormat/>
    <w:uiPriority w:val="0"/>
    <w:rPr>
      <w:rFonts w:ascii="仿宋_GB2312" w:hAnsi="Times New Roman" w:eastAsia="仿宋_GB2312" w:cs="Times New Roman"/>
      <w:sz w:val="32"/>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38B77-7EB4-4F4C-A5CA-57F5E7FB530B}">
  <ds:schemaRefs/>
</ds:datastoreItem>
</file>

<file path=docProps/app.xml><?xml version="1.0" encoding="utf-8"?>
<Properties xmlns="http://schemas.openxmlformats.org/officeDocument/2006/extended-properties" xmlns:vt="http://schemas.openxmlformats.org/officeDocument/2006/docPropsVTypes">
  <Template>Normal</Template>
  <Company>CMCC</Company>
  <Pages>4</Pages>
  <Words>333</Words>
  <Characters>1899</Characters>
  <Lines>15</Lines>
  <Paragraphs>4</Paragraphs>
  <TotalTime>32</TotalTime>
  <ScaleCrop>false</ScaleCrop>
  <LinksUpToDate>false</LinksUpToDate>
  <CharactersWithSpaces>2228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2021-06-18T16:03:00Z</dcterms:created>
  <dc:creator>徐维佳</dc:creator>
  <cp:lastModifiedBy>小孙策反了</cp:lastModifiedBy>
  <dcterms:modified xsi:type="dcterms:W3CDTF">2024-11-19T11:39:57Z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26CEE3F5E49449B99F1F82B0CA24E9E8_13</vt:lpwstr>
  </property>
</Properties>
</file>