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FD999">
      <w:pPr>
        <w:adjustRightInd w:val="0"/>
        <w:snapToGrid w:val="0"/>
        <w:spacing w:line="360" w:lineRule="auto"/>
        <w:jc w:val="center"/>
        <w:rPr>
          <w:rFonts w:ascii="仿宋_GB2312" w:eastAsia="仿宋_GB2312"/>
          <w:b/>
          <w:sz w:val="28"/>
          <w:szCs w:val="28"/>
        </w:rPr>
      </w:pPr>
      <w:bookmarkStart w:id="49" w:name="_GoBack"/>
      <w:bookmarkEnd w:id="49"/>
    </w:p>
    <w:p w14:paraId="44762AC8">
      <w:pPr>
        <w:adjustRightInd w:val="0"/>
        <w:snapToGrid w:val="0"/>
        <w:spacing w:line="360" w:lineRule="auto"/>
        <w:jc w:val="center"/>
        <w:rPr>
          <w:rFonts w:ascii="仿宋_GB2312" w:eastAsia="仿宋_GB2312"/>
          <w:b/>
          <w:sz w:val="28"/>
          <w:szCs w:val="28"/>
        </w:rPr>
      </w:pPr>
    </w:p>
    <w:p w14:paraId="69950986">
      <w:pPr>
        <w:adjustRightInd w:val="0"/>
        <w:snapToGrid w:val="0"/>
        <w:spacing w:line="360" w:lineRule="auto"/>
        <w:jc w:val="center"/>
        <w:rPr>
          <w:rFonts w:ascii="仿宋_GB2312" w:eastAsia="仿宋_GB2312"/>
          <w:b/>
          <w:sz w:val="28"/>
          <w:szCs w:val="28"/>
        </w:rPr>
      </w:pPr>
    </w:p>
    <w:p w14:paraId="15A5B3CF">
      <w:pPr>
        <w:adjustRightInd w:val="0"/>
        <w:snapToGrid w:val="0"/>
        <w:spacing w:line="360" w:lineRule="auto"/>
        <w:jc w:val="center"/>
        <w:rPr>
          <w:rFonts w:ascii="仿宋_GB2312" w:hAnsi="宋体" w:eastAsia="仿宋_GB2312"/>
          <w:b/>
          <w:sz w:val="28"/>
          <w:szCs w:val="28"/>
        </w:rPr>
      </w:pPr>
    </w:p>
    <w:p w14:paraId="1BAA37D6">
      <w:pPr>
        <w:adjustRightInd w:val="0"/>
        <w:snapToGrid w:val="0"/>
        <w:spacing w:line="360" w:lineRule="auto"/>
        <w:jc w:val="center"/>
        <w:rPr>
          <w:rFonts w:ascii="黑体" w:hAnsi="黑体" w:eastAsia="黑体"/>
          <w:b/>
          <w:bCs/>
          <w:sz w:val="56"/>
          <w:szCs w:val="48"/>
        </w:rPr>
      </w:pPr>
      <w:r>
        <w:rPr>
          <w:rFonts w:hint="eastAsia" w:ascii="黑体" w:hAnsi="黑体" w:eastAsia="黑体"/>
          <w:b/>
          <w:bCs/>
          <w:sz w:val="56"/>
          <w:szCs w:val="48"/>
        </w:rPr>
        <w:t>中国移动社会渠道管理办法</w:t>
      </w:r>
    </w:p>
    <w:p w14:paraId="19FED1A6">
      <w:pPr>
        <w:adjustRightInd w:val="0"/>
        <w:snapToGrid w:val="0"/>
        <w:spacing w:line="360" w:lineRule="auto"/>
        <w:jc w:val="center"/>
        <w:rPr>
          <w:rFonts w:ascii="黑体" w:hAnsi="黑体" w:eastAsia="黑体"/>
          <w:b/>
          <w:bCs/>
          <w:sz w:val="48"/>
          <w:szCs w:val="48"/>
        </w:rPr>
      </w:pPr>
    </w:p>
    <w:p w14:paraId="3CBDC63B">
      <w:pPr>
        <w:adjustRightInd w:val="0"/>
        <w:snapToGrid w:val="0"/>
        <w:spacing w:line="360" w:lineRule="auto"/>
        <w:jc w:val="center"/>
        <w:rPr>
          <w:rFonts w:ascii="仿宋_GB2312" w:hAnsi="宋体" w:eastAsia="仿宋_GB2312"/>
          <w:b/>
          <w:sz w:val="28"/>
          <w:szCs w:val="28"/>
        </w:rPr>
      </w:pPr>
    </w:p>
    <w:p w14:paraId="1D200EEA">
      <w:pPr>
        <w:adjustRightInd w:val="0"/>
        <w:snapToGrid w:val="0"/>
        <w:spacing w:line="360" w:lineRule="auto"/>
        <w:rPr>
          <w:rFonts w:ascii="仿宋_GB2312" w:hAnsi="宋体" w:eastAsia="仿宋_GB2312"/>
          <w:b/>
          <w:sz w:val="28"/>
          <w:szCs w:val="28"/>
        </w:rPr>
      </w:pPr>
    </w:p>
    <w:p w14:paraId="04DFCB3E">
      <w:pPr>
        <w:adjustRightInd w:val="0"/>
        <w:snapToGrid w:val="0"/>
        <w:spacing w:line="360" w:lineRule="auto"/>
        <w:rPr>
          <w:rFonts w:ascii="仿宋_GB2312" w:hAnsi="宋体" w:eastAsia="仿宋_GB2312"/>
          <w:b/>
          <w:sz w:val="28"/>
          <w:szCs w:val="28"/>
        </w:rPr>
      </w:pPr>
    </w:p>
    <w:p w14:paraId="38AD6757">
      <w:pPr>
        <w:adjustRightInd w:val="0"/>
        <w:snapToGrid w:val="0"/>
        <w:spacing w:line="360" w:lineRule="auto"/>
        <w:rPr>
          <w:rFonts w:ascii="仿宋_GB2312" w:hAnsi="宋体" w:eastAsia="仿宋_GB2312"/>
          <w:b/>
          <w:sz w:val="28"/>
          <w:szCs w:val="28"/>
        </w:rPr>
      </w:pPr>
    </w:p>
    <w:p w14:paraId="3E373FD7">
      <w:pPr>
        <w:adjustRightInd w:val="0"/>
        <w:snapToGrid w:val="0"/>
        <w:spacing w:line="360" w:lineRule="auto"/>
        <w:rPr>
          <w:rFonts w:ascii="仿宋_GB2312" w:hAnsi="宋体" w:eastAsia="仿宋_GB2312"/>
          <w:b/>
          <w:sz w:val="28"/>
          <w:szCs w:val="28"/>
        </w:rPr>
      </w:pPr>
    </w:p>
    <w:p w14:paraId="5BEA3824">
      <w:pPr>
        <w:adjustRightInd w:val="0"/>
        <w:snapToGrid w:val="0"/>
        <w:spacing w:line="360" w:lineRule="auto"/>
        <w:rPr>
          <w:rFonts w:ascii="仿宋_GB2312" w:hAnsi="宋体" w:eastAsia="仿宋_GB2312"/>
          <w:b/>
          <w:sz w:val="28"/>
          <w:szCs w:val="28"/>
        </w:rPr>
      </w:pPr>
    </w:p>
    <w:p w14:paraId="360F85DB">
      <w:pPr>
        <w:adjustRightInd w:val="0"/>
        <w:snapToGrid w:val="0"/>
        <w:spacing w:line="360" w:lineRule="auto"/>
        <w:rPr>
          <w:rFonts w:ascii="仿宋_GB2312" w:hAnsi="宋体" w:eastAsia="仿宋_GB2312"/>
          <w:b/>
          <w:sz w:val="28"/>
          <w:szCs w:val="28"/>
        </w:rPr>
      </w:pPr>
    </w:p>
    <w:p w14:paraId="1C9E3DC3">
      <w:pPr>
        <w:adjustRightInd w:val="0"/>
        <w:snapToGrid w:val="0"/>
        <w:spacing w:line="360" w:lineRule="auto"/>
        <w:rPr>
          <w:rFonts w:ascii="仿宋_GB2312" w:hAnsi="宋体" w:eastAsia="仿宋_GB2312"/>
          <w:b/>
          <w:sz w:val="28"/>
          <w:szCs w:val="28"/>
        </w:rPr>
      </w:pPr>
    </w:p>
    <w:p w14:paraId="72B30401">
      <w:pPr>
        <w:adjustRightInd w:val="0"/>
        <w:snapToGrid w:val="0"/>
        <w:spacing w:line="360" w:lineRule="auto"/>
        <w:rPr>
          <w:rFonts w:ascii="仿宋_GB2312" w:hAnsi="宋体" w:eastAsia="仿宋_GB2312"/>
          <w:b/>
          <w:sz w:val="28"/>
          <w:szCs w:val="28"/>
        </w:rPr>
      </w:pPr>
    </w:p>
    <w:p w14:paraId="4A1B888D">
      <w:pPr>
        <w:adjustRightInd w:val="0"/>
        <w:snapToGrid w:val="0"/>
        <w:spacing w:line="360" w:lineRule="auto"/>
        <w:rPr>
          <w:rFonts w:ascii="仿宋_GB2312" w:hAnsi="宋体" w:eastAsia="仿宋_GB2312"/>
          <w:b/>
          <w:sz w:val="28"/>
          <w:szCs w:val="28"/>
        </w:rPr>
      </w:pPr>
    </w:p>
    <w:p w14:paraId="551870B0">
      <w:pPr>
        <w:adjustRightInd w:val="0"/>
        <w:snapToGrid w:val="0"/>
        <w:spacing w:line="360" w:lineRule="auto"/>
        <w:rPr>
          <w:rFonts w:ascii="仿宋_GB2312" w:hAnsi="宋体" w:eastAsia="仿宋_GB2312"/>
          <w:b/>
          <w:sz w:val="28"/>
          <w:szCs w:val="28"/>
        </w:rPr>
      </w:pPr>
    </w:p>
    <w:p w14:paraId="43DCA837">
      <w:pPr>
        <w:adjustRightInd w:val="0"/>
        <w:snapToGrid w:val="0"/>
        <w:spacing w:line="360" w:lineRule="auto"/>
        <w:jc w:val="center"/>
        <w:rPr>
          <w:rFonts w:ascii="黑体" w:hAnsi="黑体" w:eastAsia="黑体"/>
          <w:sz w:val="32"/>
          <w:szCs w:val="32"/>
          <w:lang w:val="zh-CN"/>
        </w:rPr>
      </w:pPr>
      <w:r>
        <w:rPr>
          <w:rFonts w:hint="eastAsia" w:ascii="仿宋_GB2312" w:eastAsia="仿宋_GB2312"/>
          <w:b/>
          <w:sz w:val="28"/>
          <w:szCs w:val="28"/>
        </w:rPr>
        <w:br w:type="page"/>
      </w:r>
      <w:r>
        <w:rPr>
          <w:rFonts w:hint="eastAsia" w:ascii="黑体" w:hAnsi="黑体" w:eastAsia="黑体"/>
          <w:sz w:val="32"/>
          <w:szCs w:val="32"/>
          <w:lang w:val="zh-CN"/>
        </w:rPr>
        <w:t>目 录</w:t>
      </w:r>
    </w:p>
    <w:p w14:paraId="04619784">
      <w:pPr>
        <w:adjustRightInd w:val="0"/>
        <w:snapToGrid w:val="0"/>
        <w:spacing w:line="360" w:lineRule="auto"/>
        <w:rPr>
          <w:rFonts w:ascii="仿宋_GB2312" w:eastAsia="仿宋_GB2312"/>
          <w:sz w:val="28"/>
          <w:szCs w:val="28"/>
          <w:lang w:val="zh-CN"/>
        </w:rPr>
      </w:pPr>
    </w:p>
    <w:p w14:paraId="1302FC34">
      <w:pPr>
        <w:pStyle w:val="11"/>
        <w:rPr>
          <w:rFonts w:asciiTheme="minorHAnsi" w:hAnsiTheme="minorHAnsi" w:eastAsiaTheme="minorEastAsia" w:cstheme="minorBidi"/>
          <w:sz w:val="21"/>
          <w:szCs w:val="22"/>
        </w:rPr>
      </w:pPr>
      <w:r>
        <w:rPr>
          <w:rStyle w:val="21"/>
          <w:rFonts w:hint="eastAsia" w:ascii="仿宋_GB2312" w:hAnsi="宋体" w:eastAsia="仿宋_GB2312"/>
          <w:color w:val="auto"/>
          <w:kern w:val="3"/>
        </w:rPr>
        <w:fldChar w:fldCharType="begin"/>
      </w:r>
      <w:r>
        <w:rPr>
          <w:rStyle w:val="21"/>
          <w:rFonts w:hint="eastAsia" w:ascii="仿宋_GB2312" w:hAnsi="宋体" w:eastAsia="仿宋_GB2312"/>
          <w:color w:val="auto"/>
          <w:kern w:val="3"/>
        </w:rPr>
        <w:instrText xml:space="preserve"> TOC \o "1-3" \h \z \u </w:instrText>
      </w:r>
      <w:r>
        <w:rPr>
          <w:rStyle w:val="21"/>
          <w:rFonts w:hint="eastAsia" w:ascii="仿宋_GB2312" w:hAnsi="宋体" w:eastAsia="仿宋_GB2312"/>
          <w:color w:val="auto"/>
          <w:kern w:val="3"/>
        </w:rPr>
        <w:fldChar w:fldCharType="separate"/>
      </w:r>
      <w:r>
        <w:fldChar w:fldCharType="begin"/>
      </w:r>
      <w:r>
        <w:instrText xml:space="preserve"> HYPERLINK \l "_Toc501109556" </w:instrText>
      </w:r>
      <w:r>
        <w:fldChar w:fldCharType="separate"/>
      </w:r>
      <w:r>
        <w:rPr>
          <w:rStyle w:val="21"/>
          <w:rFonts w:hint="eastAsia" w:ascii="黑体" w:hAnsi="黑体" w:eastAsia="黑体"/>
          <w:kern w:val="3"/>
        </w:rPr>
        <w:t>第一章</w:t>
      </w:r>
      <w:r>
        <w:rPr>
          <w:rStyle w:val="21"/>
          <w:rFonts w:ascii="黑体" w:hAnsi="黑体" w:eastAsia="黑体"/>
          <w:kern w:val="3"/>
        </w:rPr>
        <w:t xml:space="preserve">  </w:t>
      </w:r>
      <w:r>
        <w:rPr>
          <w:rStyle w:val="21"/>
          <w:rFonts w:hint="eastAsia" w:ascii="黑体" w:hAnsi="黑体" w:eastAsia="黑体"/>
          <w:kern w:val="3"/>
        </w:rPr>
        <w:t>总则</w:t>
      </w:r>
      <w:r>
        <w:tab/>
      </w:r>
      <w:r>
        <w:fldChar w:fldCharType="begin"/>
      </w:r>
      <w:r>
        <w:instrText xml:space="preserve"> PAGEREF _Toc501109556 \h </w:instrText>
      </w:r>
      <w:r>
        <w:fldChar w:fldCharType="separate"/>
      </w:r>
      <w:r>
        <w:t>1</w:t>
      </w:r>
      <w:r>
        <w:fldChar w:fldCharType="end"/>
      </w:r>
      <w:r>
        <w:fldChar w:fldCharType="end"/>
      </w:r>
    </w:p>
    <w:p w14:paraId="72973B56">
      <w:pPr>
        <w:pStyle w:val="11"/>
        <w:rPr>
          <w:rFonts w:asciiTheme="minorHAnsi" w:hAnsiTheme="minorHAnsi" w:eastAsiaTheme="minorEastAsia" w:cstheme="minorBidi"/>
          <w:sz w:val="21"/>
          <w:szCs w:val="22"/>
        </w:rPr>
      </w:pPr>
      <w:r>
        <w:fldChar w:fldCharType="begin"/>
      </w:r>
      <w:r>
        <w:instrText xml:space="preserve"> HYPERLINK \l "_Toc501109557" </w:instrText>
      </w:r>
      <w:r>
        <w:fldChar w:fldCharType="separate"/>
      </w:r>
      <w:r>
        <w:rPr>
          <w:rStyle w:val="21"/>
          <w:rFonts w:hint="eastAsia" w:ascii="黑体" w:hAnsi="黑体" w:eastAsia="黑体"/>
        </w:rPr>
        <w:t>第二章</w:t>
      </w:r>
      <w:r>
        <w:rPr>
          <w:rStyle w:val="21"/>
          <w:rFonts w:ascii="黑体" w:hAnsi="黑体" w:eastAsia="黑体"/>
        </w:rPr>
        <w:t xml:space="preserve">  </w:t>
      </w:r>
      <w:r>
        <w:rPr>
          <w:rStyle w:val="21"/>
          <w:rFonts w:hint="eastAsia" w:ascii="黑体" w:hAnsi="黑体" w:eastAsia="黑体"/>
        </w:rPr>
        <w:t>渠道分类与布局</w:t>
      </w:r>
      <w:r>
        <w:tab/>
      </w:r>
      <w:r>
        <w:fldChar w:fldCharType="begin"/>
      </w:r>
      <w:r>
        <w:instrText xml:space="preserve"> PAGEREF _Toc501109557 \h </w:instrText>
      </w:r>
      <w:r>
        <w:fldChar w:fldCharType="separate"/>
      </w:r>
      <w:r>
        <w:t>1</w:t>
      </w:r>
      <w:r>
        <w:fldChar w:fldCharType="end"/>
      </w:r>
      <w:r>
        <w:fldChar w:fldCharType="end"/>
      </w:r>
    </w:p>
    <w:p w14:paraId="5A4CF3D1">
      <w:pPr>
        <w:pStyle w:val="11"/>
        <w:rPr>
          <w:rFonts w:asciiTheme="minorHAnsi" w:hAnsiTheme="minorHAnsi" w:eastAsiaTheme="minorEastAsia" w:cstheme="minorBidi"/>
          <w:sz w:val="21"/>
          <w:szCs w:val="22"/>
        </w:rPr>
      </w:pPr>
      <w:r>
        <w:fldChar w:fldCharType="begin"/>
      </w:r>
      <w:r>
        <w:instrText xml:space="preserve"> HYPERLINK \l "_Toc501109558" </w:instrText>
      </w:r>
      <w:r>
        <w:fldChar w:fldCharType="separate"/>
      </w:r>
      <w:r>
        <w:rPr>
          <w:rStyle w:val="21"/>
          <w:rFonts w:hint="eastAsia" w:ascii="黑体" w:hAnsi="黑体" w:eastAsia="黑体"/>
          <w:kern w:val="3"/>
        </w:rPr>
        <w:t>第三章</w:t>
      </w:r>
      <w:r>
        <w:rPr>
          <w:rStyle w:val="21"/>
          <w:rFonts w:ascii="黑体" w:hAnsi="黑体" w:eastAsia="黑体"/>
          <w:kern w:val="3"/>
        </w:rPr>
        <w:t xml:space="preserve">  </w:t>
      </w:r>
      <w:r>
        <w:rPr>
          <w:rStyle w:val="21"/>
          <w:rFonts w:hint="eastAsia" w:ascii="黑体" w:hAnsi="黑体" w:eastAsia="黑体"/>
          <w:kern w:val="3"/>
        </w:rPr>
        <w:t>准入与退出</w:t>
      </w:r>
      <w:r>
        <w:tab/>
      </w:r>
      <w:r>
        <w:fldChar w:fldCharType="begin"/>
      </w:r>
      <w:r>
        <w:instrText xml:space="preserve"> PAGEREF _Toc501109558 \h </w:instrText>
      </w:r>
      <w:r>
        <w:fldChar w:fldCharType="separate"/>
      </w:r>
      <w:r>
        <w:t>3</w:t>
      </w:r>
      <w:r>
        <w:fldChar w:fldCharType="end"/>
      </w:r>
      <w:r>
        <w:fldChar w:fldCharType="end"/>
      </w:r>
    </w:p>
    <w:p w14:paraId="209F1CE1">
      <w:pPr>
        <w:pStyle w:val="13"/>
        <w:rPr>
          <w:rFonts w:asciiTheme="minorHAnsi" w:hAnsiTheme="minorHAnsi" w:eastAsiaTheme="minorEastAsia" w:cstheme="minorBidi"/>
          <w:szCs w:val="22"/>
        </w:rPr>
      </w:pPr>
      <w:r>
        <w:fldChar w:fldCharType="begin"/>
      </w:r>
      <w:r>
        <w:instrText xml:space="preserve"> HYPERLINK \l "_Toc501109559" </w:instrText>
      </w:r>
      <w:r>
        <w:fldChar w:fldCharType="separate"/>
      </w:r>
      <w:r>
        <w:rPr>
          <w:rStyle w:val="21"/>
          <w:rFonts w:hint="eastAsia" w:ascii="楷体_GB2312" w:hAnsi="仿宋" w:eastAsia="楷体_GB2312"/>
        </w:rPr>
        <w:t>第一节</w:t>
      </w:r>
      <w:r>
        <w:rPr>
          <w:rStyle w:val="21"/>
          <w:rFonts w:ascii="楷体_GB2312" w:hAnsi="仿宋" w:eastAsia="楷体_GB2312"/>
        </w:rPr>
        <w:t xml:space="preserve"> </w:t>
      </w:r>
      <w:r>
        <w:rPr>
          <w:rStyle w:val="21"/>
          <w:rFonts w:hint="eastAsia" w:ascii="楷体_GB2312" w:hAnsi="仿宋" w:eastAsia="楷体_GB2312"/>
        </w:rPr>
        <w:t>合作准入</w:t>
      </w:r>
      <w:r>
        <w:tab/>
      </w:r>
      <w:r>
        <w:fldChar w:fldCharType="begin"/>
      </w:r>
      <w:r>
        <w:instrText xml:space="preserve"> PAGEREF _Toc501109559 \h </w:instrText>
      </w:r>
      <w:r>
        <w:fldChar w:fldCharType="separate"/>
      </w:r>
      <w:r>
        <w:t>3</w:t>
      </w:r>
      <w:r>
        <w:fldChar w:fldCharType="end"/>
      </w:r>
      <w:r>
        <w:fldChar w:fldCharType="end"/>
      </w:r>
    </w:p>
    <w:p w14:paraId="2D318DBE">
      <w:pPr>
        <w:pStyle w:val="13"/>
        <w:rPr>
          <w:rFonts w:asciiTheme="minorHAnsi" w:hAnsiTheme="minorHAnsi" w:eastAsiaTheme="minorEastAsia" w:cstheme="minorBidi"/>
          <w:szCs w:val="22"/>
        </w:rPr>
      </w:pPr>
      <w:r>
        <w:fldChar w:fldCharType="begin"/>
      </w:r>
      <w:r>
        <w:instrText xml:space="preserve"> HYPERLINK \l "_Toc501109560" </w:instrText>
      </w:r>
      <w:r>
        <w:fldChar w:fldCharType="separate"/>
      </w:r>
      <w:r>
        <w:rPr>
          <w:rStyle w:val="21"/>
          <w:rFonts w:hint="eastAsia" w:ascii="楷体_GB2312" w:eastAsia="楷体_GB2312" w:hAnsiTheme="minorEastAsia"/>
        </w:rPr>
        <w:t>第二节</w:t>
      </w:r>
      <w:r>
        <w:rPr>
          <w:rStyle w:val="21"/>
          <w:rFonts w:ascii="楷体_GB2312" w:eastAsia="楷体_GB2312" w:hAnsiTheme="minorEastAsia"/>
        </w:rPr>
        <w:t xml:space="preserve"> </w:t>
      </w:r>
      <w:r>
        <w:rPr>
          <w:rStyle w:val="21"/>
          <w:rFonts w:hint="eastAsia" w:ascii="楷体_GB2312" w:eastAsia="楷体_GB2312" w:hAnsiTheme="minorEastAsia"/>
        </w:rPr>
        <w:t>合作退出</w:t>
      </w:r>
      <w:r>
        <w:tab/>
      </w:r>
      <w:r>
        <w:fldChar w:fldCharType="begin"/>
      </w:r>
      <w:r>
        <w:instrText xml:space="preserve"> PAGEREF _Toc501109560 \h </w:instrText>
      </w:r>
      <w:r>
        <w:fldChar w:fldCharType="separate"/>
      </w:r>
      <w:r>
        <w:t>3</w:t>
      </w:r>
      <w:r>
        <w:fldChar w:fldCharType="end"/>
      </w:r>
      <w:r>
        <w:fldChar w:fldCharType="end"/>
      </w:r>
    </w:p>
    <w:p w14:paraId="66A1F3F5">
      <w:pPr>
        <w:pStyle w:val="11"/>
        <w:rPr>
          <w:rFonts w:asciiTheme="minorHAnsi" w:hAnsiTheme="minorHAnsi" w:eastAsiaTheme="minorEastAsia" w:cstheme="minorBidi"/>
          <w:sz w:val="21"/>
          <w:szCs w:val="22"/>
        </w:rPr>
      </w:pPr>
      <w:r>
        <w:fldChar w:fldCharType="begin"/>
      </w:r>
      <w:r>
        <w:instrText xml:space="preserve"> HYPERLINK \l "_Toc501109561" </w:instrText>
      </w:r>
      <w:r>
        <w:fldChar w:fldCharType="separate"/>
      </w:r>
      <w:r>
        <w:rPr>
          <w:rStyle w:val="21"/>
          <w:rFonts w:hint="eastAsia" w:ascii="黑体" w:hAnsi="黑体" w:eastAsia="黑体"/>
        </w:rPr>
        <w:t>第四章</w:t>
      </w:r>
      <w:r>
        <w:rPr>
          <w:rStyle w:val="21"/>
          <w:rFonts w:ascii="黑体" w:hAnsi="黑体" w:eastAsia="黑体"/>
        </w:rPr>
        <w:t xml:space="preserve"> </w:t>
      </w:r>
      <w:r>
        <w:rPr>
          <w:rStyle w:val="21"/>
          <w:rFonts w:hint="eastAsia" w:ascii="黑体" w:hAnsi="黑体" w:eastAsia="黑体"/>
        </w:rPr>
        <w:t>社会渠道费用管理</w:t>
      </w:r>
      <w:r>
        <w:tab/>
      </w:r>
      <w:r>
        <w:fldChar w:fldCharType="begin"/>
      </w:r>
      <w:r>
        <w:instrText xml:space="preserve"> PAGEREF _Toc501109561 \h </w:instrText>
      </w:r>
      <w:r>
        <w:fldChar w:fldCharType="separate"/>
      </w:r>
      <w:r>
        <w:t>4</w:t>
      </w:r>
      <w:r>
        <w:fldChar w:fldCharType="end"/>
      </w:r>
      <w:r>
        <w:fldChar w:fldCharType="end"/>
      </w:r>
    </w:p>
    <w:p w14:paraId="185E2D67">
      <w:pPr>
        <w:pStyle w:val="13"/>
        <w:rPr>
          <w:rFonts w:asciiTheme="minorHAnsi" w:hAnsiTheme="minorHAnsi" w:eastAsiaTheme="minorEastAsia" w:cstheme="minorBidi"/>
          <w:szCs w:val="22"/>
        </w:rPr>
      </w:pPr>
      <w:r>
        <w:fldChar w:fldCharType="begin"/>
      </w:r>
      <w:r>
        <w:instrText xml:space="preserve"> HYPERLINK \l "_Toc501109562" </w:instrText>
      </w:r>
      <w:r>
        <w:fldChar w:fldCharType="separate"/>
      </w:r>
      <w:r>
        <w:rPr>
          <w:rStyle w:val="21"/>
          <w:rFonts w:hint="eastAsia" w:ascii="楷体_GB2312" w:eastAsia="楷体_GB2312" w:hAnsiTheme="minorEastAsia"/>
        </w:rPr>
        <w:t>第一节</w:t>
      </w:r>
      <w:r>
        <w:rPr>
          <w:rStyle w:val="21"/>
          <w:rFonts w:ascii="楷体_GB2312" w:eastAsia="楷体_GB2312" w:hAnsiTheme="minorEastAsia"/>
        </w:rPr>
        <w:t xml:space="preserve"> </w:t>
      </w:r>
      <w:r>
        <w:rPr>
          <w:rStyle w:val="21"/>
          <w:rFonts w:hint="eastAsia" w:ascii="楷体_GB2312" w:eastAsia="楷体_GB2312" w:hAnsiTheme="minorEastAsia"/>
        </w:rPr>
        <w:t>费用分类</w:t>
      </w:r>
      <w:r>
        <w:tab/>
      </w:r>
      <w:r>
        <w:fldChar w:fldCharType="begin"/>
      </w:r>
      <w:r>
        <w:instrText xml:space="preserve"> PAGEREF _Toc501109562 \h </w:instrText>
      </w:r>
      <w:r>
        <w:fldChar w:fldCharType="separate"/>
      </w:r>
      <w:r>
        <w:t>4</w:t>
      </w:r>
      <w:r>
        <w:fldChar w:fldCharType="end"/>
      </w:r>
      <w:r>
        <w:fldChar w:fldCharType="end"/>
      </w:r>
    </w:p>
    <w:p w14:paraId="1490FBF8">
      <w:pPr>
        <w:pStyle w:val="13"/>
        <w:rPr>
          <w:rFonts w:asciiTheme="minorHAnsi" w:hAnsiTheme="minorHAnsi" w:eastAsiaTheme="minorEastAsia" w:cstheme="minorBidi"/>
          <w:szCs w:val="22"/>
        </w:rPr>
      </w:pPr>
      <w:r>
        <w:fldChar w:fldCharType="begin"/>
      </w:r>
      <w:r>
        <w:instrText xml:space="preserve"> HYPERLINK \l "_Toc501109563" </w:instrText>
      </w:r>
      <w:r>
        <w:fldChar w:fldCharType="separate"/>
      </w:r>
      <w:r>
        <w:rPr>
          <w:rStyle w:val="21"/>
          <w:rFonts w:hint="eastAsia" w:ascii="楷体_GB2312" w:hAnsi="仿宋_GB2312" w:eastAsia="楷体_GB2312"/>
        </w:rPr>
        <w:t>第二节</w:t>
      </w:r>
      <w:r>
        <w:rPr>
          <w:rStyle w:val="21"/>
          <w:rFonts w:ascii="楷体_GB2312" w:hAnsi="仿宋_GB2312" w:eastAsia="楷体_GB2312"/>
        </w:rPr>
        <w:t xml:space="preserve"> </w:t>
      </w:r>
      <w:r>
        <w:rPr>
          <w:rStyle w:val="21"/>
          <w:rFonts w:hint="eastAsia" w:ascii="楷体_GB2312" w:hAnsi="仿宋_GB2312" w:eastAsia="楷体_GB2312"/>
        </w:rPr>
        <w:t>社会渠道费用管理要求</w:t>
      </w:r>
      <w:r>
        <w:tab/>
      </w:r>
      <w:r>
        <w:fldChar w:fldCharType="begin"/>
      </w:r>
      <w:r>
        <w:instrText xml:space="preserve"> PAGEREF _Toc501109563 \h </w:instrText>
      </w:r>
      <w:r>
        <w:fldChar w:fldCharType="separate"/>
      </w:r>
      <w:r>
        <w:t>4</w:t>
      </w:r>
      <w:r>
        <w:fldChar w:fldCharType="end"/>
      </w:r>
      <w:r>
        <w:fldChar w:fldCharType="end"/>
      </w:r>
    </w:p>
    <w:p w14:paraId="0C55AAE5">
      <w:pPr>
        <w:pStyle w:val="13"/>
        <w:rPr>
          <w:rFonts w:asciiTheme="minorHAnsi" w:hAnsiTheme="minorHAnsi" w:eastAsiaTheme="minorEastAsia" w:cstheme="minorBidi"/>
          <w:szCs w:val="22"/>
        </w:rPr>
      </w:pPr>
      <w:r>
        <w:fldChar w:fldCharType="begin"/>
      </w:r>
      <w:r>
        <w:instrText xml:space="preserve"> HYPERLINK \l "_Toc501109564" </w:instrText>
      </w:r>
      <w:r>
        <w:fldChar w:fldCharType="separate"/>
      </w:r>
      <w:r>
        <w:rPr>
          <w:rStyle w:val="21"/>
          <w:rFonts w:hint="eastAsia" w:ascii="楷体_GB2312" w:hAnsi="仿宋_GB2312" w:eastAsia="楷体_GB2312"/>
        </w:rPr>
        <w:t>第三节</w:t>
      </w:r>
      <w:r>
        <w:rPr>
          <w:rStyle w:val="21"/>
          <w:rFonts w:ascii="楷体_GB2312" w:hAnsi="仿宋_GB2312" w:eastAsia="楷体_GB2312"/>
        </w:rPr>
        <w:t xml:space="preserve"> </w:t>
      </w:r>
      <w:r>
        <w:rPr>
          <w:rStyle w:val="21"/>
          <w:rFonts w:hint="eastAsia" w:ascii="楷体_GB2312" w:hAnsi="仿宋_GB2312" w:eastAsia="楷体_GB2312"/>
        </w:rPr>
        <w:t>社会渠道费用支付</w:t>
      </w:r>
      <w:r>
        <w:tab/>
      </w:r>
      <w:r>
        <w:fldChar w:fldCharType="begin"/>
      </w:r>
      <w:r>
        <w:instrText xml:space="preserve"> PAGEREF _Toc501109564 \h </w:instrText>
      </w:r>
      <w:r>
        <w:fldChar w:fldCharType="separate"/>
      </w:r>
      <w:r>
        <w:t>5</w:t>
      </w:r>
      <w:r>
        <w:fldChar w:fldCharType="end"/>
      </w:r>
      <w:r>
        <w:fldChar w:fldCharType="end"/>
      </w:r>
    </w:p>
    <w:p w14:paraId="4D1F3B59">
      <w:pPr>
        <w:pStyle w:val="13"/>
        <w:rPr>
          <w:rFonts w:asciiTheme="minorHAnsi" w:hAnsiTheme="minorHAnsi" w:eastAsiaTheme="minorEastAsia" w:cstheme="minorBidi"/>
          <w:szCs w:val="22"/>
        </w:rPr>
      </w:pPr>
      <w:r>
        <w:fldChar w:fldCharType="begin"/>
      </w:r>
      <w:r>
        <w:instrText xml:space="preserve"> HYPERLINK \l "_Toc501109565" </w:instrText>
      </w:r>
      <w:r>
        <w:fldChar w:fldCharType="separate"/>
      </w:r>
      <w:r>
        <w:rPr>
          <w:rStyle w:val="21"/>
          <w:rFonts w:hint="eastAsia" w:ascii="楷体_GB2312" w:hAnsi="仿宋_GB2312" w:eastAsia="楷体_GB2312"/>
        </w:rPr>
        <w:t>第四节</w:t>
      </w:r>
      <w:r>
        <w:rPr>
          <w:rStyle w:val="21"/>
          <w:rFonts w:ascii="楷体_GB2312" w:hAnsi="仿宋_GB2312" w:eastAsia="楷体_GB2312"/>
        </w:rPr>
        <w:t xml:space="preserve"> </w:t>
      </w:r>
      <w:r>
        <w:rPr>
          <w:rStyle w:val="21"/>
          <w:rFonts w:hint="eastAsia" w:ascii="楷体_GB2312" w:hAnsi="仿宋_GB2312" w:eastAsia="楷体_GB2312"/>
        </w:rPr>
        <w:t>非社会渠道费用激励管理</w:t>
      </w:r>
      <w:r>
        <w:tab/>
      </w:r>
      <w:r>
        <w:fldChar w:fldCharType="begin"/>
      </w:r>
      <w:r>
        <w:instrText xml:space="preserve"> PAGEREF _Toc501109565 \h </w:instrText>
      </w:r>
      <w:r>
        <w:fldChar w:fldCharType="separate"/>
      </w:r>
      <w:r>
        <w:t>6</w:t>
      </w:r>
      <w:r>
        <w:fldChar w:fldCharType="end"/>
      </w:r>
      <w:r>
        <w:fldChar w:fldCharType="end"/>
      </w:r>
    </w:p>
    <w:p w14:paraId="4EE7AB49">
      <w:pPr>
        <w:pStyle w:val="13"/>
        <w:rPr>
          <w:rFonts w:asciiTheme="minorHAnsi" w:hAnsiTheme="minorHAnsi" w:eastAsiaTheme="minorEastAsia" w:cstheme="minorBidi"/>
          <w:szCs w:val="22"/>
        </w:rPr>
      </w:pPr>
      <w:r>
        <w:fldChar w:fldCharType="begin"/>
      </w:r>
      <w:r>
        <w:instrText xml:space="preserve"> HYPERLINK \l "_Toc501109566" </w:instrText>
      </w:r>
      <w:r>
        <w:fldChar w:fldCharType="separate"/>
      </w:r>
      <w:r>
        <w:rPr>
          <w:rStyle w:val="21"/>
          <w:rFonts w:hint="eastAsia" w:ascii="楷体_GB2312" w:hAnsi="仿宋_GB2312" w:eastAsia="楷体_GB2312"/>
        </w:rPr>
        <w:t>第五节</w:t>
      </w:r>
      <w:r>
        <w:rPr>
          <w:rStyle w:val="21"/>
          <w:rFonts w:ascii="楷体_GB2312" w:hAnsi="仿宋_GB2312" w:eastAsia="楷体_GB2312"/>
        </w:rPr>
        <w:t xml:space="preserve"> </w:t>
      </w:r>
      <w:r>
        <w:rPr>
          <w:rStyle w:val="21"/>
          <w:rFonts w:hint="eastAsia" w:ascii="楷体_GB2312" w:hAnsi="仿宋_GB2312" w:eastAsia="楷体_GB2312"/>
        </w:rPr>
        <w:t>社会渠道费用系统支撑</w:t>
      </w:r>
      <w:r>
        <w:tab/>
      </w:r>
      <w:r>
        <w:fldChar w:fldCharType="begin"/>
      </w:r>
      <w:r>
        <w:instrText xml:space="preserve"> PAGEREF _Toc501109566 \h </w:instrText>
      </w:r>
      <w:r>
        <w:fldChar w:fldCharType="separate"/>
      </w:r>
      <w:r>
        <w:t>7</w:t>
      </w:r>
      <w:r>
        <w:fldChar w:fldCharType="end"/>
      </w:r>
      <w:r>
        <w:fldChar w:fldCharType="end"/>
      </w:r>
    </w:p>
    <w:p w14:paraId="2A4BE18D">
      <w:pPr>
        <w:pStyle w:val="11"/>
        <w:rPr>
          <w:rFonts w:asciiTheme="minorHAnsi" w:hAnsiTheme="minorHAnsi" w:eastAsiaTheme="minorEastAsia" w:cstheme="minorBidi"/>
          <w:sz w:val="21"/>
          <w:szCs w:val="22"/>
        </w:rPr>
      </w:pPr>
      <w:r>
        <w:fldChar w:fldCharType="begin"/>
      </w:r>
      <w:r>
        <w:instrText xml:space="preserve"> HYPERLINK \l "_Toc501109567" </w:instrText>
      </w:r>
      <w:r>
        <w:fldChar w:fldCharType="separate"/>
      </w:r>
      <w:r>
        <w:rPr>
          <w:rStyle w:val="21"/>
          <w:rFonts w:hint="eastAsia" w:ascii="黑体" w:hAnsi="黑体" w:eastAsia="黑体"/>
        </w:rPr>
        <w:t>第五章</w:t>
      </w:r>
      <w:r>
        <w:rPr>
          <w:rStyle w:val="21"/>
          <w:rFonts w:ascii="黑体" w:hAnsi="黑体" w:eastAsia="黑体"/>
        </w:rPr>
        <w:t xml:space="preserve">  </w:t>
      </w:r>
      <w:r>
        <w:rPr>
          <w:rStyle w:val="21"/>
          <w:rFonts w:hint="eastAsia" w:ascii="黑体" w:hAnsi="黑体" w:eastAsia="黑体"/>
        </w:rPr>
        <w:t>运营管理</w:t>
      </w:r>
      <w:r>
        <w:tab/>
      </w:r>
      <w:r>
        <w:fldChar w:fldCharType="begin"/>
      </w:r>
      <w:r>
        <w:instrText xml:space="preserve"> PAGEREF _Toc501109567 \h </w:instrText>
      </w:r>
      <w:r>
        <w:fldChar w:fldCharType="separate"/>
      </w:r>
      <w:r>
        <w:t>7</w:t>
      </w:r>
      <w:r>
        <w:fldChar w:fldCharType="end"/>
      </w:r>
      <w:r>
        <w:fldChar w:fldCharType="end"/>
      </w:r>
    </w:p>
    <w:p w14:paraId="64FEDC1B">
      <w:pPr>
        <w:pStyle w:val="13"/>
        <w:rPr>
          <w:rFonts w:asciiTheme="minorHAnsi" w:hAnsiTheme="minorHAnsi" w:eastAsiaTheme="minorEastAsia" w:cstheme="minorBidi"/>
          <w:szCs w:val="22"/>
        </w:rPr>
      </w:pPr>
      <w:r>
        <w:fldChar w:fldCharType="begin"/>
      </w:r>
      <w:r>
        <w:instrText xml:space="preserve"> HYPERLINK \l "_Toc501109568" </w:instrText>
      </w:r>
      <w:r>
        <w:fldChar w:fldCharType="separate"/>
      </w:r>
      <w:r>
        <w:rPr>
          <w:rStyle w:val="21"/>
          <w:rFonts w:hint="eastAsia" w:ascii="楷体_GB2312" w:eastAsia="楷体_GB2312" w:hAnsiTheme="minorEastAsia"/>
        </w:rPr>
        <w:t>第一节</w:t>
      </w:r>
      <w:r>
        <w:rPr>
          <w:rStyle w:val="21"/>
          <w:rFonts w:ascii="楷体_GB2312" w:eastAsia="楷体_GB2312" w:hAnsiTheme="minorEastAsia"/>
        </w:rPr>
        <w:t xml:space="preserve"> </w:t>
      </w:r>
      <w:r>
        <w:rPr>
          <w:rStyle w:val="21"/>
          <w:rFonts w:hint="eastAsia" w:ascii="楷体_GB2312" w:eastAsia="楷体_GB2312" w:hAnsiTheme="minorEastAsia"/>
        </w:rPr>
        <w:t>集中化管理</w:t>
      </w:r>
      <w:r>
        <w:tab/>
      </w:r>
      <w:r>
        <w:fldChar w:fldCharType="begin"/>
      </w:r>
      <w:r>
        <w:instrText xml:space="preserve"> PAGEREF _Toc501109568 \h </w:instrText>
      </w:r>
      <w:r>
        <w:fldChar w:fldCharType="separate"/>
      </w:r>
      <w:r>
        <w:t>7</w:t>
      </w:r>
      <w:r>
        <w:fldChar w:fldCharType="end"/>
      </w:r>
      <w:r>
        <w:fldChar w:fldCharType="end"/>
      </w:r>
    </w:p>
    <w:p w14:paraId="3D5FCBC4">
      <w:pPr>
        <w:pStyle w:val="13"/>
        <w:rPr>
          <w:rFonts w:asciiTheme="minorHAnsi" w:hAnsiTheme="minorHAnsi" w:eastAsiaTheme="minorEastAsia" w:cstheme="minorBidi"/>
          <w:szCs w:val="22"/>
        </w:rPr>
      </w:pPr>
      <w:r>
        <w:fldChar w:fldCharType="begin"/>
      </w:r>
      <w:r>
        <w:instrText xml:space="preserve"> HYPERLINK \l "_Toc501109569" </w:instrText>
      </w:r>
      <w:r>
        <w:fldChar w:fldCharType="separate"/>
      </w:r>
      <w:r>
        <w:rPr>
          <w:rStyle w:val="21"/>
          <w:rFonts w:hint="eastAsia" w:ascii="楷体_GB2312" w:eastAsia="楷体_GB2312" w:hAnsiTheme="minorEastAsia"/>
        </w:rPr>
        <w:t>第二节</w:t>
      </w:r>
      <w:r>
        <w:rPr>
          <w:rStyle w:val="21"/>
          <w:rFonts w:ascii="楷体_GB2312" w:eastAsia="楷体_GB2312" w:hAnsiTheme="minorEastAsia"/>
        </w:rPr>
        <w:t xml:space="preserve"> </w:t>
      </w:r>
      <w:r>
        <w:rPr>
          <w:rStyle w:val="21"/>
          <w:rFonts w:hint="eastAsia" w:ascii="楷体_GB2312" w:eastAsia="楷体_GB2312" w:hAnsiTheme="minorEastAsia"/>
        </w:rPr>
        <w:t>运营管理</w:t>
      </w:r>
      <w:r>
        <w:tab/>
      </w:r>
      <w:r>
        <w:fldChar w:fldCharType="begin"/>
      </w:r>
      <w:r>
        <w:instrText xml:space="preserve"> PAGEREF _Toc501109569 \h </w:instrText>
      </w:r>
      <w:r>
        <w:fldChar w:fldCharType="separate"/>
      </w:r>
      <w:r>
        <w:t>8</w:t>
      </w:r>
      <w:r>
        <w:fldChar w:fldCharType="end"/>
      </w:r>
      <w:r>
        <w:fldChar w:fldCharType="end"/>
      </w:r>
    </w:p>
    <w:p w14:paraId="06C37779">
      <w:pPr>
        <w:pStyle w:val="11"/>
        <w:rPr>
          <w:rFonts w:asciiTheme="minorHAnsi" w:hAnsiTheme="minorHAnsi" w:eastAsiaTheme="minorEastAsia" w:cstheme="minorBidi"/>
          <w:sz w:val="21"/>
          <w:szCs w:val="22"/>
        </w:rPr>
      </w:pPr>
      <w:r>
        <w:fldChar w:fldCharType="begin"/>
      </w:r>
      <w:r>
        <w:instrText xml:space="preserve"> HYPERLINK \l "_Toc501109570" </w:instrText>
      </w:r>
      <w:r>
        <w:fldChar w:fldCharType="separate"/>
      </w:r>
      <w:r>
        <w:rPr>
          <w:rStyle w:val="21"/>
          <w:rFonts w:hint="eastAsia" w:ascii="黑体" w:hAnsi="黑体" w:eastAsia="黑体"/>
        </w:rPr>
        <w:t>第六章</w:t>
      </w:r>
      <w:r>
        <w:rPr>
          <w:rStyle w:val="21"/>
          <w:rFonts w:ascii="黑体" w:hAnsi="黑体" w:eastAsia="黑体"/>
        </w:rPr>
        <w:t xml:space="preserve">  </w:t>
      </w:r>
      <w:r>
        <w:rPr>
          <w:rStyle w:val="21"/>
          <w:rFonts w:hint="eastAsia" w:ascii="黑体" w:hAnsi="黑体" w:eastAsia="黑体"/>
        </w:rPr>
        <w:t>监控和违规管理</w:t>
      </w:r>
      <w:r>
        <w:tab/>
      </w:r>
      <w:r>
        <w:fldChar w:fldCharType="begin"/>
      </w:r>
      <w:r>
        <w:instrText xml:space="preserve"> PAGEREF _Toc501109570 \h </w:instrText>
      </w:r>
      <w:r>
        <w:fldChar w:fldCharType="separate"/>
      </w:r>
      <w:r>
        <w:t>11</w:t>
      </w:r>
      <w:r>
        <w:fldChar w:fldCharType="end"/>
      </w:r>
      <w:r>
        <w:fldChar w:fldCharType="end"/>
      </w:r>
    </w:p>
    <w:p w14:paraId="049E2C1E">
      <w:pPr>
        <w:pStyle w:val="13"/>
        <w:rPr>
          <w:rFonts w:asciiTheme="minorHAnsi" w:hAnsiTheme="minorHAnsi" w:eastAsiaTheme="minorEastAsia" w:cstheme="minorBidi"/>
          <w:szCs w:val="22"/>
        </w:rPr>
      </w:pPr>
      <w:r>
        <w:fldChar w:fldCharType="begin"/>
      </w:r>
      <w:r>
        <w:instrText xml:space="preserve"> HYPERLINK \l "_Toc501109571" </w:instrText>
      </w:r>
      <w:r>
        <w:fldChar w:fldCharType="separate"/>
      </w:r>
      <w:r>
        <w:rPr>
          <w:rStyle w:val="21"/>
          <w:rFonts w:hint="eastAsia" w:ascii="楷体_GB2312" w:eastAsia="楷体_GB2312" w:hAnsiTheme="minorEastAsia"/>
        </w:rPr>
        <w:t>第一节</w:t>
      </w:r>
      <w:r>
        <w:rPr>
          <w:rStyle w:val="21"/>
          <w:rFonts w:ascii="楷体_GB2312" w:eastAsia="楷体_GB2312" w:hAnsiTheme="minorEastAsia"/>
        </w:rPr>
        <w:t xml:space="preserve"> </w:t>
      </w:r>
      <w:r>
        <w:rPr>
          <w:rStyle w:val="21"/>
          <w:rFonts w:hint="eastAsia" w:ascii="楷体_GB2312" w:eastAsia="楷体_GB2312" w:hAnsiTheme="minorEastAsia"/>
        </w:rPr>
        <w:t>分类及定义</w:t>
      </w:r>
      <w:r>
        <w:tab/>
      </w:r>
      <w:r>
        <w:fldChar w:fldCharType="begin"/>
      </w:r>
      <w:r>
        <w:instrText xml:space="preserve"> PAGEREF _Toc501109571 \h </w:instrText>
      </w:r>
      <w:r>
        <w:fldChar w:fldCharType="separate"/>
      </w:r>
      <w:r>
        <w:t>12</w:t>
      </w:r>
      <w:r>
        <w:fldChar w:fldCharType="end"/>
      </w:r>
      <w:r>
        <w:fldChar w:fldCharType="end"/>
      </w:r>
    </w:p>
    <w:p w14:paraId="177C09CB">
      <w:pPr>
        <w:pStyle w:val="13"/>
        <w:rPr>
          <w:rFonts w:asciiTheme="minorHAnsi" w:hAnsiTheme="minorHAnsi" w:eastAsiaTheme="minorEastAsia" w:cstheme="minorBidi"/>
          <w:szCs w:val="22"/>
        </w:rPr>
      </w:pPr>
      <w:r>
        <w:fldChar w:fldCharType="begin"/>
      </w:r>
      <w:r>
        <w:instrText xml:space="preserve"> HYPERLINK \l "_Toc501109572" </w:instrText>
      </w:r>
      <w:r>
        <w:fldChar w:fldCharType="separate"/>
      </w:r>
      <w:r>
        <w:rPr>
          <w:rStyle w:val="21"/>
          <w:rFonts w:hint="eastAsia" w:ascii="楷体_GB2312" w:eastAsia="楷体_GB2312"/>
        </w:rPr>
        <w:t>第二节</w:t>
      </w:r>
      <w:r>
        <w:rPr>
          <w:rStyle w:val="21"/>
          <w:rFonts w:ascii="楷体_GB2312" w:eastAsia="楷体_GB2312"/>
        </w:rPr>
        <w:t xml:space="preserve">  </w:t>
      </w:r>
      <w:r>
        <w:rPr>
          <w:rStyle w:val="21"/>
          <w:rFonts w:hint="eastAsia" w:ascii="楷体_GB2312" w:eastAsia="楷体_GB2312"/>
        </w:rPr>
        <w:t>监控和管理要求</w:t>
      </w:r>
      <w:r>
        <w:tab/>
      </w:r>
      <w:r>
        <w:fldChar w:fldCharType="begin"/>
      </w:r>
      <w:r>
        <w:instrText xml:space="preserve"> PAGEREF _Toc501109572 \h </w:instrText>
      </w:r>
      <w:r>
        <w:fldChar w:fldCharType="separate"/>
      </w:r>
      <w:r>
        <w:t>12</w:t>
      </w:r>
      <w:r>
        <w:fldChar w:fldCharType="end"/>
      </w:r>
      <w:r>
        <w:fldChar w:fldCharType="end"/>
      </w:r>
    </w:p>
    <w:p w14:paraId="0E25F02F">
      <w:pPr>
        <w:pStyle w:val="13"/>
        <w:rPr>
          <w:rFonts w:asciiTheme="minorHAnsi" w:hAnsiTheme="minorHAnsi" w:eastAsiaTheme="minorEastAsia" w:cstheme="minorBidi"/>
          <w:szCs w:val="22"/>
        </w:rPr>
      </w:pPr>
      <w:r>
        <w:fldChar w:fldCharType="begin"/>
      </w:r>
      <w:r>
        <w:instrText xml:space="preserve"> HYPERLINK \l "_Toc501109573" </w:instrText>
      </w:r>
      <w:r>
        <w:fldChar w:fldCharType="separate"/>
      </w:r>
      <w:r>
        <w:rPr>
          <w:rStyle w:val="21"/>
          <w:rFonts w:hint="eastAsia" w:ascii="楷体_GB2312" w:eastAsia="楷体_GB2312"/>
        </w:rPr>
        <w:t>第三节</w:t>
      </w:r>
      <w:r>
        <w:rPr>
          <w:rStyle w:val="21"/>
          <w:rFonts w:ascii="楷体_GB2312" w:eastAsia="楷体_GB2312"/>
        </w:rPr>
        <w:t xml:space="preserve"> </w:t>
      </w:r>
      <w:r>
        <w:rPr>
          <w:rStyle w:val="21"/>
          <w:rFonts w:hint="eastAsia" w:ascii="楷体_GB2312" w:eastAsia="楷体_GB2312"/>
        </w:rPr>
        <w:t>违规行为罚则</w:t>
      </w:r>
      <w:r>
        <w:tab/>
      </w:r>
      <w:r>
        <w:fldChar w:fldCharType="begin"/>
      </w:r>
      <w:r>
        <w:instrText xml:space="preserve"> PAGEREF _Toc501109573 \h </w:instrText>
      </w:r>
      <w:r>
        <w:fldChar w:fldCharType="separate"/>
      </w:r>
      <w:r>
        <w:t>13</w:t>
      </w:r>
      <w:r>
        <w:fldChar w:fldCharType="end"/>
      </w:r>
      <w:r>
        <w:fldChar w:fldCharType="end"/>
      </w:r>
    </w:p>
    <w:p w14:paraId="4BC25ACA">
      <w:pPr>
        <w:pStyle w:val="11"/>
        <w:rPr>
          <w:rFonts w:asciiTheme="minorHAnsi" w:hAnsiTheme="minorHAnsi" w:eastAsiaTheme="minorEastAsia" w:cstheme="minorBidi"/>
          <w:sz w:val="21"/>
          <w:szCs w:val="22"/>
        </w:rPr>
      </w:pPr>
      <w:r>
        <w:fldChar w:fldCharType="begin"/>
      </w:r>
      <w:r>
        <w:instrText xml:space="preserve"> HYPERLINK \l "_Toc501109574" </w:instrText>
      </w:r>
      <w:r>
        <w:fldChar w:fldCharType="separate"/>
      </w:r>
      <w:r>
        <w:rPr>
          <w:rStyle w:val="21"/>
          <w:rFonts w:hint="eastAsia" w:ascii="黑体" w:hAnsi="黑体" w:eastAsia="黑体"/>
        </w:rPr>
        <w:t>第七章</w:t>
      </w:r>
      <w:r>
        <w:rPr>
          <w:rStyle w:val="21"/>
          <w:rFonts w:ascii="黑体" w:hAnsi="黑体" w:eastAsia="黑体"/>
        </w:rPr>
        <w:t xml:space="preserve">  </w:t>
      </w:r>
      <w:r>
        <w:rPr>
          <w:rStyle w:val="21"/>
          <w:rFonts w:hint="eastAsia" w:ascii="黑体" w:hAnsi="黑体" w:eastAsia="黑体"/>
        </w:rPr>
        <w:t>罚则</w:t>
      </w:r>
      <w:r>
        <w:tab/>
      </w:r>
      <w:r>
        <w:fldChar w:fldCharType="begin"/>
      </w:r>
      <w:r>
        <w:instrText xml:space="preserve"> PAGEREF _Toc501109574 \h </w:instrText>
      </w:r>
      <w:r>
        <w:fldChar w:fldCharType="separate"/>
      </w:r>
      <w:r>
        <w:t>14</w:t>
      </w:r>
      <w:r>
        <w:fldChar w:fldCharType="end"/>
      </w:r>
      <w:r>
        <w:fldChar w:fldCharType="end"/>
      </w:r>
    </w:p>
    <w:p w14:paraId="3B27C070">
      <w:pPr>
        <w:pStyle w:val="11"/>
        <w:rPr>
          <w:rFonts w:asciiTheme="minorHAnsi" w:hAnsiTheme="minorHAnsi" w:eastAsiaTheme="minorEastAsia" w:cstheme="minorBidi"/>
          <w:sz w:val="21"/>
          <w:szCs w:val="22"/>
        </w:rPr>
      </w:pPr>
      <w:r>
        <w:fldChar w:fldCharType="begin"/>
      </w:r>
      <w:r>
        <w:instrText xml:space="preserve"> HYPERLINK \l "_Toc501109575" </w:instrText>
      </w:r>
      <w:r>
        <w:fldChar w:fldCharType="separate"/>
      </w:r>
      <w:r>
        <w:rPr>
          <w:rStyle w:val="21"/>
          <w:rFonts w:hint="eastAsia" w:ascii="黑体" w:hAnsi="黑体" w:eastAsia="黑体"/>
        </w:rPr>
        <w:t>第八章</w:t>
      </w:r>
      <w:r>
        <w:rPr>
          <w:rStyle w:val="21"/>
          <w:rFonts w:ascii="黑体" w:hAnsi="黑体" w:eastAsia="黑体"/>
        </w:rPr>
        <w:t xml:space="preserve">  </w:t>
      </w:r>
      <w:r>
        <w:rPr>
          <w:rStyle w:val="21"/>
          <w:rFonts w:hint="eastAsia" w:ascii="黑体" w:hAnsi="黑体" w:eastAsia="黑体"/>
        </w:rPr>
        <w:t>附则</w:t>
      </w:r>
      <w:r>
        <w:tab/>
      </w:r>
      <w:r>
        <w:fldChar w:fldCharType="begin"/>
      </w:r>
      <w:r>
        <w:instrText xml:space="preserve"> PAGEREF _Toc501109575 \h </w:instrText>
      </w:r>
      <w:r>
        <w:fldChar w:fldCharType="separate"/>
      </w:r>
      <w:r>
        <w:t>14</w:t>
      </w:r>
      <w:r>
        <w:fldChar w:fldCharType="end"/>
      </w:r>
      <w:r>
        <w:fldChar w:fldCharType="end"/>
      </w:r>
    </w:p>
    <w:p w14:paraId="190ABDAE">
      <w:pPr>
        <w:adjustRightInd w:val="0"/>
        <w:snapToGrid w:val="0"/>
        <w:spacing w:line="360" w:lineRule="auto"/>
        <w:jc w:val="center"/>
        <w:rPr>
          <w:rFonts w:ascii="仿宋_GB2312" w:hAnsi="宋体" w:eastAsia="仿宋_GB2312"/>
          <w:sz w:val="28"/>
          <w:szCs w:val="28"/>
        </w:rPr>
      </w:pPr>
      <w:r>
        <w:rPr>
          <w:rStyle w:val="21"/>
          <w:rFonts w:hint="eastAsia" w:ascii="仿宋_GB2312" w:hAnsi="宋体" w:eastAsia="仿宋_GB2312"/>
          <w:color w:val="auto"/>
          <w:kern w:val="3"/>
        </w:rPr>
        <w:fldChar w:fldCharType="end"/>
      </w:r>
      <w:r>
        <w:rPr>
          <w:rFonts w:hint="eastAsia" w:ascii="仿宋_GB2312" w:eastAsia="仿宋_GB2312"/>
          <w:sz w:val="28"/>
          <w:szCs w:val="28"/>
        </w:rPr>
        <w:br w:type="page"/>
      </w:r>
    </w:p>
    <w:p w14:paraId="24292E74">
      <w:pPr>
        <w:adjustRightInd w:val="0"/>
        <w:snapToGrid w:val="0"/>
        <w:spacing w:line="360" w:lineRule="auto"/>
        <w:ind w:firstLine="756" w:firstLineChars="270"/>
        <w:rPr>
          <w:rFonts w:ascii="仿宋_GB2312" w:hAnsi="宋体" w:eastAsia="仿宋_GB2312"/>
          <w:sz w:val="28"/>
          <w:szCs w:val="28"/>
        </w:rPr>
        <w:sectPr>
          <w:footerReference r:id="rId4" w:type="first"/>
          <w:footerReference r:id="rId3" w:type="default"/>
          <w:pgSz w:w="11906" w:h="16838"/>
          <w:pgMar w:top="1276" w:right="1800" w:bottom="1440" w:left="1800" w:header="851" w:footer="992" w:gutter="0"/>
          <w:pgNumType w:start="1"/>
          <w:cols w:space="425" w:num="1"/>
          <w:titlePg/>
          <w:docGrid w:type="lines" w:linePitch="312" w:charSpace="0"/>
        </w:sectPr>
      </w:pPr>
    </w:p>
    <w:p w14:paraId="2C81D5CE">
      <w:pPr>
        <w:pStyle w:val="2"/>
        <w:numPr>
          <w:ilvl w:val="0"/>
          <w:numId w:val="0"/>
        </w:numPr>
        <w:adjustRightInd w:val="0"/>
        <w:snapToGrid w:val="0"/>
        <w:spacing w:before="0" w:after="0" w:line="360" w:lineRule="auto"/>
        <w:rPr>
          <w:rFonts w:ascii="黑体" w:hAnsi="黑体" w:eastAsia="黑体"/>
          <w:b w:val="0"/>
          <w:kern w:val="3"/>
          <w:sz w:val="28"/>
          <w:szCs w:val="28"/>
        </w:rPr>
      </w:pPr>
      <w:bookmarkStart w:id="0" w:name="_Toc351739643"/>
      <w:bookmarkStart w:id="1" w:name="_Toc351739597"/>
      <w:bookmarkStart w:id="2" w:name="_Toc351739763"/>
      <w:bookmarkStart w:id="3" w:name="_Toc501109556"/>
      <w:r>
        <w:rPr>
          <w:rFonts w:hint="eastAsia" w:ascii="黑体" w:hAnsi="黑体" w:eastAsia="黑体"/>
          <w:b w:val="0"/>
          <w:kern w:val="3"/>
          <w:sz w:val="28"/>
          <w:szCs w:val="28"/>
        </w:rPr>
        <w:t>第一章  总则</w:t>
      </w:r>
      <w:bookmarkEnd w:id="0"/>
      <w:bookmarkEnd w:id="1"/>
      <w:bookmarkEnd w:id="2"/>
      <w:bookmarkEnd w:id="3"/>
    </w:p>
    <w:p w14:paraId="443C134B"/>
    <w:p w14:paraId="69151072">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为加强社会渠道精细化、规范化管理，提升渠道的销售能力，支撑4G业务发展，结合未来公司发展战略，制定本办法。</w:t>
      </w:r>
    </w:p>
    <w:p w14:paraId="20E25501">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本管理办法中社会渠道是指合作销售中国移动产品和服务的第三方实体渠道、电子渠道和直销渠道。</w:t>
      </w:r>
    </w:p>
    <w:p w14:paraId="3BB68F28">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社会渠道严格实施扁平化管理，即由中国移动对所有签约社会渠道的日常运营进行“直管”、对网点尤其是末梢网点的销售情况进行“直控”、对产品和营销资源进行“直供”；禁止开展任何形式的卡号、业务批发行为。</w:t>
      </w:r>
    </w:p>
    <w:p w14:paraId="056ADDF7">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本办法适用于总部、省（区、市）公司社会实体、电子和直销渠道的引入、运营、退出和监控等过程的管理和规范。</w:t>
      </w:r>
    </w:p>
    <w:p w14:paraId="371E1476">
      <w:pPr>
        <w:adjustRightInd w:val="0"/>
        <w:snapToGrid w:val="0"/>
        <w:spacing w:line="360" w:lineRule="auto"/>
        <w:rPr>
          <w:rFonts w:ascii="仿宋_GB2312" w:eastAsia="仿宋_GB2312"/>
          <w:szCs w:val="21"/>
        </w:rPr>
      </w:pPr>
    </w:p>
    <w:p w14:paraId="4F2183B3">
      <w:pPr>
        <w:pStyle w:val="2"/>
        <w:numPr>
          <w:ilvl w:val="0"/>
          <w:numId w:val="0"/>
        </w:numPr>
        <w:adjustRightInd w:val="0"/>
        <w:snapToGrid w:val="0"/>
        <w:spacing w:before="0" w:after="0" w:line="360" w:lineRule="auto"/>
        <w:jc w:val="both"/>
        <w:rPr>
          <w:rFonts w:ascii="黑体" w:hAnsi="黑体" w:eastAsia="黑体"/>
          <w:b w:val="0"/>
          <w:sz w:val="28"/>
          <w:szCs w:val="28"/>
        </w:rPr>
      </w:pPr>
      <w:r>
        <w:rPr>
          <w:rFonts w:hint="eastAsia" w:ascii="黑体" w:hAnsi="黑体" w:eastAsia="黑体"/>
          <w:b w:val="0"/>
          <w:sz w:val="28"/>
          <w:szCs w:val="28"/>
        </w:rPr>
        <w:t xml:space="preserve">                  </w:t>
      </w:r>
      <w:bookmarkStart w:id="4" w:name="_Toc501109557"/>
      <w:r>
        <w:rPr>
          <w:rFonts w:hint="eastAsia" w:ascii="黑体" w:hAnsi="黑体" w:eastAsia="黑体"/>
          <w:b w:val="0"/>
          <w:sz w:val="28"/>
          <w:szCs w:val="28"/>
        </w:rPr>
        <w:t>第二章  渠道分类与布局</w:t>
      </w:r>
      <w:bookmarkEnd w:id="4"/>
    </w:p>
    <w:p w14:paraId="14E6C774"/>
    <w:p w14:paraId="58BAE94E">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社会渠道按合作渠道类别划分，可分为实体渠道、电子渠道、直销渠道。实体渠道又分为加盟店和授权店。授权店细分为手机卖场、手机专卖店与授权代理店，电子渠道分为B2C电商、互联网分销。（具体体系架构见附件1）</w:t>
      </w:r>
    </w:p>
    <w:p w14:paraId="5EAF3D1E">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加盟店</w:t>
      </w:r>
    </w:p>
    <w:p w14:paraId="32BAE284">
      <w:pPr>
        <w:adjustRightInd w:val="0"/>
        <w:snapToGrid w:val="0"/>
        <w:spacing w:line="360" w:lineRule="auto"/>
        <w:rPr>
          <w:rFonts w:ascii="仿宋_GB2312" w:eastAsia="仿宋_GB2312"/>
          <w:sz w:val="28"/>
          <w:szCs w:val="28"/>
          <w:highlight w:val="yellow"/>
        </w:rPr>
      </w:pPr>
      <w:r>
        <w:rPr>
          <w:rFonts w:hint="eastAsia" w:ascii="仿宋_GB2312" w:eastAsia="仿宋_GB2312"/>
          <w:sz w:val="28"/>
          <w:szCs w:val="28"/>
        </w:rPr>
        <w:t xml:space="preserve">    （一）委托加盟店是指在中国移动自有物业（包括自建、自购和自租）内，委托第三方经营的一种渠道形式，纳入中国移动实体渠道连锁体系进行管理。</w:t>
      </w:r>
    </w:p>
    <w:p w14:paraId="7E92C7F8">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（二）带店加盟店是指在特定区域内，第三方将其拥有和经营的店铺，以带店带人、加盟合作的形式进行合作，纳入中国移动实体渠道连锁体系进行管理。</w:t>
      </w:r>
    </w:p>
    <w:p w14:paraId="3FA0A351">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授权店</w:t>
      </w:r>
    </w:p>
    <w:p w14:paraId="7D9F2ECF">
      <w:pPr>
        <w:adjustRightInd w:val="0"/>
        <w:snapToGrid w:val="0"/>
        <w:spacing w:line="360" w:lineRule="auto"/>
        <w:ind w:firstLine="560"/>
        <w:rPr>
          <w:rFonts w:ascii="仿宋_GB2312" w:eastAsia="仿宋_GB2312"/>
          <w:sz w:val="28"/>
          <w:szCs w:val="28"/>
        </w:rPr>
      </w:pPr>
      <w:r>
        <w:rPr>
          <w:rFonts w:hint="eastAsia" w:ascii="仿宋_GB2312" w:eastAsia="仿宋_GB2312"/>
          <w:sz w:val="28"/>
          <w:szCs w:val="28"/>
        </w:rPr>
        <w:t>（一）手机卖场是4G+终端销售的重要合作伙伴，可分为全国连锁卖场、省级连锁卖场、市级连锁卖场和单店大卖场。</w:t>
      </w:r>
    </w:p>
    <w:p w14:paraId="56D931D4">
      <w:pPr>
        <w:adjustRightInd w:val="0"/>
        <w:snapToGrid w:val="0"/>
        <w:spacing w:line="360" w:lineRule="auto"/>
        <w:ind w:firstLine="560"/>
        <w:rPr>
          <w:rFonts w:ascii="仿宋_GB2312" w:eastAsia="仿宋_GB2312"/>
          <w:sz w:val="28"/>
          <w:szCs w:val="28"/>
        </w:rPr>
      </w:pPr>
      <w:r>
        <w:rPr>
          <w:rFonts w:hint="eastAsia" w:ascii="仿宋_GB2312" w:eastAsia="仿宋_GB2312"/>
          <w:sz w:val="28"/>
          <w:szCs w:val="28"/>
        </w:rPr>
        <w:t>1.全国连锁卖场：一般指具有300个以上独立门店，跨越3个以上省级行政单位经营的连锁性卖场。一般由总部统一洽谈、统一签约，并由各省（区、市）公司分别签署执行协议，开展日常运营。</w:t>
      </w:r>
    </w:p>
    <w:p w14:paraId="328E4362">
      <w:pPr>
        <w:adjustRightInd w:val="0"/>
        <w:snapToGrid w:val="0"/>
        <w:spacing w:line="360" w:lineRule="auto"/>
        <w:ind w:firstLine="560"/>
        <w:rPr>
          <w:rFonts w:ascii="仿宋_GB2312" w:eastAsia="仿宋_GB2312"/>
          <w:sz w:val="28"/>
          <w:szCs w:val="28"/>
        </w:rPr>
      </w:pPr>
      <w:r>
        <w:rPr>
          <w:rFonts w:hint="eastAsia" w:ascii="仿宋_GB2312" w:eastAsia="仿宋_GB2312"/>
          <w:sz w:val="28"/>
          <w:szCs w:val="28"/>
        </w:rPr>
        <w:t>2.省级连锁卖场：一般指具有若干个独立门店，本省内跨2个以上地市的连锁性卖场。</w:t>
      </w:r>
      <w:bookmarkStart w:id="5" w:name="OLE_LINK4"/>
      <w:bookmarkStart w:id="6" w:name="OLE_LINK3"/>
      <w:r>
        <w:rPr>
          <w:rFonts w:hint="eastAsia" w:ascii="仿宋_GB2312" w:eastAsia="仿宋_GB2312"/>
          <w:sz w:val="28"/>
          <w:szCs w:val="28"/>
        </w:rPr>
        <w:t>由各省（区、市）公司统一洽谈、统一签约</w:t>
      </w:r>
      <w:bookmarkEnd w:id="5"/>
      <w:bookmarkEnd w:id="6"/>
      <w:r>
        <w:rPr>
          <w:rFonts w:hint="eastAsia" w:ascii="仿宋_GB2312" w:eastAsia="仿宋_GB2312"/>
          <w:sz w:val="28"/>
          <w:szCs w:val="28"/>
        </w:rPr>
        <w:t>，可由各地市分公司分别签署执行协议，开展日常运营。</w:t>
      </w:r>
    </w:p>
    <w:p w14:paraId="6E9DD4B0">
      <w:pPr>
        <w:adjustRightInd w:val="0"/>
        <w:snapToGrid w:val="0"/>
        <w:spacing w:line="360" w:lineRule="auto"/>
        <w:ind w:firstLine="560"/>
        <w:rPr>
          <w:rFonts w:ascii="仿宋_GB2312" w:eastAsia="仿宋_GB2312"/>
          <w:sz w:val="28"/>
          <w:szCs w:val="28"/>
        </w:rPr>
      </w:pPr>
      <w:r>
        <w:rPr>
          <w:rFonts w:hint="eastAsia" w:ascii="仿宋_GB2312" w:eastAsia="仿宋_GB2312"/>
          <w:sz w:val="28"/>
          <w:szCs w:val="28"/>
        </w:rPr>
        <w:t>3.市级连锁卖场：一般指本地具有若干个独立门店的连锁卖场，可由各地市分公司统一洽谈、统一签约并直接开展日常运营。</w:t>
      </w:r>
    </w:p>
    <w:p w14:paraId="669656F9">
      <w:pPr>
        <w:adjustRightInd w:val="0"/>
        <w:snapToGrid w:val="0"/>
        <w:spacing w:line="360" w:lineRule="auto"/>
        <w:ind w:firstLine="560"/>
        <w:rPr>
          <w:rFonts w:ascii="仿宋_GB2312" w:eastAsia="仿宋_GB2312"/>
          <w:sz w:val="28"/>
          <w:szCs w:val="28"/>
        </w:rPr>
      </w:pPr>
      <w:r>
        <w:rPr>
          <w:rFonts w:hint="eastAsia" w:ascii="仿宋_GB2312" w:eastAsia="仿宋_GB2312"/>
          <w:sz w:val="28"/>
          <w:szCs w:val="28"/>
        </w:rPr>
        <w:t>4.单店大卖场：指区域内影响力较大、销量较高的单店手机卖场，原则上处于核心商圈，由省（区、市）公司或地市分公司直接签约开展合作。</w:t>
      </w:r>
    </w:p>
    <w:p w14:paraId="3D3B89F6">
      <w:pPr>
        <w:adjustRightInd w:val="0"/>
        <w:snapToGrid w:val="0"/>
        <w:spacing w:line="360" w:lineRule="auto"/>
        <w:ind w:firstLine="560"/>
        <w:rPr>
          <w:rFonts w:ascii="仿宋_GB2312" w:eastAsia="仿宋_GB2312"/>
          <w:sz w:val="28"/>
          <w:szCs w:val="28"/>
        </w:rPr>
      </w:pPr>
      <w:r>
        <w:rPr>
          <w:rFonts w:hint="eastAsia" w:ascii="仿宋_GB2312" w:eastAsia="仿宋_GB2312"/>
          <w:sz w:val="28"/>
          <w:szCs w:val="28"/>
        </w:rPr>
        <w:t>（二）手机专卖店是指覆盖在商圈、社区、乡镇的终端、宽带、套餐、卡号销售网点。由地市分公司遴选、审批、接入后开展合作。</w:t>
      </w:r>
    </w:p>
    <w:p w14:paraId="48B60EC8">
      <w:pPr>
        <w:adjustRightInd w:val="0"/>
        <w:snapToGrid w:val="0"/>
        <w:spacing w:line="360" w:lineRule="auto"/>
        <w:ind w:firstLine="560"/>
        <w:rPr>
          <w:rFonts w:ascii="仿宋_GB2312" w:eastAsia="仿宋_GB2312"/>
          <w:sz w:val="28"/>
          <w:szCs w:val="28"/>
        </w:rPr>
      </w:pPr>
      <w:r>
        <w:rPr>
          <w:rFonts w:hint="eastAsia" w:ascii="仿宋_GB2312" w:eastAsia="仿宋_GB2312"/>
          <w:sz w:val="28"/>
          <w:szCs w:val="28"/>
        </w:rPr>
        <w:t>（三）授权代理店/点是指覆盖广大末梢区域，提供充值缴费、宽带、售卡等基础服务的网点，一般不具备终端销售能力。由地市分公司按社会渠道管理办法遴选、审批后开展合作。</w:t>
      </w:r>
    </w:p>
    <w:p w14:paraId="000CCE1A">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社会电子渠道包括B2C电商和互联网分销， B2C电商指授权销售中国移动产品的B2C类电子商务网站；互联网分销指通过互联网销售中国移动产品和业务的外部应用、APP和网站等。</w:t>
      </w:r>
    </w:p>
    <w:p w14:paraId="18188836">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社会直销渠道指无实体门店的第三方，在特定市场区域（农村、社区和校园等），以行销、外呼等方式进行产品销售和服务的渠道类型，由省（区、市）或地市分公司签约开展合作。</w:t>
      </w:r>
    </w:p>
    <w:p w14:paraId="7DE8F117">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实体渠道应重点布局商圈、社区、乡镇三类区域。其中商圈是4G业务销售的主阵地，应重点布局。社区是家庭业务销售的重要区域，应结合家庭宽带电视业务、数字家庭产品，以现有渠道改造转型为主，盲区补点为辅。乡镇应继续坚持“一镇一店”的覆盖原则。</w:t>
      </w:r>
    </w:p>
    <w:p w14:paraId="4D72EDD7">
      <w:pPr>
        <w:adjustRightInd w:val="0"/>
        <w:snapToGrid w:val="0"/>
        <w:spacing w:line="360" w:lineRule="auto"/>
        <w:rPr>
          <w:rFonts w:ascii="仿宋_GB2312" w:eastAsia="仿宋_GB2312"/>
          <w:szCs w:val="21"/>
        </w:rPr>
      </w:pPr>
    </w:p>
    <w:p w14:paraId="04B3C32B">
      <w:pPr>
        <w:pStyle w:val="2"/>
        <w:numPr>
          <w:ilvl w:val="0"/>
          <w:numId w:val="0"/>
        </w:numPr>
        <w:adjustRightInd w:val="0"/>
        <w:snapToGrid w:val="0"/>
        <w:spacing w:before="0" w:after="0" w:line="360" w:lineRule="auto"/>
        <w:rPr>
          <w:rFonts w:ascii="黑体" w:hAnsi="黑体" w:eastAsia="黑体"/>
          <w:b w:val="0"/>
          <w:kern w:val="3"/>
          <w:sz w:val="28"/>
          <w:szCs w:val="28"/>
        </w:rPr>
      </w:pPr>
      <w:r>
        <w:rPr>
          <w:rFonts w:hint="eastAsia" w:ascii="黑体" w:hAnsi="黑体" w:eastAsia="黑体"/>
          <w:b w:val="0"/>
          <w:sz w:val="28"/>
          <w:szCs w:val="28"/>
        </w:rPr>
        <w:t xml:space="preserve">  </w:t>
      </w:r>
      <w:bookmarkStart w:id="7" w:name="_Toc415663094"/>
      <w:bookmarkStart w:id="8" w:name="_Toc501109558"/>
      <w:r>
        <w:rPr>
          <w:rFonts w:hint="eastAsia" w:ascii="黑体" w:hAnsi="黑体" w:eastAsia="黑体"/>
          <w:b w:val="0"/>
          <w:kern w:val="3"/>
          <w:sz w:val="28"/>
          <w:szCs w:val="28"/>
        </w:rPr>
        <w:t>第三章  准入与退出</w:t>
      </w:r>
      <w:bookmarkEnd w:id="7"/>
      <w:bookmarkEnd w:id="8"/>
    </w:p>
    <w:p w14:paraId="3C1830C1"/>
    <w:p w14:paraId="4EC7FC2F">
      <w:pPr>
        <w:pStyle w:val="3"/>
        <w:adjustRightInd w:val="0"/>
        <w:snapToGrid w:val="0"/>
        <w:spacing w:before="0" w:after="0" w:line="360" w:lineRule="auto"/>
        <w:ind w:firstLine="562"/>
        <w:rPr>
          <w:rFonts w:ascii="楷体_GB2312" w:hAnsi="仿宋" w:eastAsia="楷体_GB2312"/>
          <w:b w:val="0"/>
          <w:szCs w:val="28"/>
        </w:rPr>
      </w:pPr>
      <w:bookmarkStart w:id="9" w:name="_Toc501109559"/>
      <w:bookmarkStart w:id="10" w:name="_Toc415663095"/>
      <w:r>
        <w:rPr>
          <w:rFonts w:hint="eastAsia" w:ascii="楷体_GB2312" w:hAnsi="仿宋" w:eastAsia="楷体_GB2312"/>
          <w:b w:val="0"/>
          <w:szCs w:val="28"/>
        </w:rPr>
        <w:t>第一节 合作准入</w:t>
      </w:r>
      <w:bookmarkEnd w:id="9"/>
      <w:bookmarkEnd w:id="10"/>
    </w:p>
    <w:p w14:paraId="0E05F0CF">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社会渠道准入的资质要求见附件2。省（区、市）公司制定细化的门店准入、退出管理办法，细分合作层级并叠加资质要求。社会渠道的引入应由省（区、市）公司或地市分公司进行审批。渠道商招募和准入标准要对外公开，渠道商遴选流程要对外公示。公司渠道管理、终端管理等与渠道管理工作直接相关的员工本人或其直系亲属不得经营社会渠道。</w:t>
      </w:r>
    </w:p>
    <w:p w14:paraId="012633C6">
      <w:pPr>
        <w:pStyle w:val="3"/>
        <w:adjustRightInd w:val="0"/>
        <w:snapToGrid w:val="0"/>
        <w:spacing w:before="0" w:after="0" w:line="360" w:lineRule="auto"/>
        <w:rPr>
          <w:rFonts w:ascii="楷体_GB2312" w:eastAsia="楷体_GB2312" w:hAnsiTheme="minorEastAsia"/>
          <w:b w:val="0"/>
          <w:szCs w:val="28"/>
        </w:rPr>
      </w:pPr>
      <w:bookmarkStart w:id="11" w:name="_Toc415663096"/>
      <w:bookmarkStart w:id="12" w:name="_Toc501109560"/>
      <w:r>
        <w:rPr>
          <w:rFonts w:hint="eastAsia" w:ascii="楷体_GB2312" w:eastAsia="楷体_GB2312" w:hAnsiTheme="minorEastAsia"/>
          <w:b w:val="0"/>
          <w:szCs w:val="28"/>
        </w:rPr>
        <w:t>第二节 合作退出</w:t>
      </w:r>
      <w:bookmarkEnd w:id="11"/>
      <w:bookmarkEnd w:id="12"/>
    </w:p>
    <w:p w14:paraId="29052355">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社会渠道退出分为主动退出、考核退出和违规退出。主动退出指渠道因自身原因，主动向中国移动申请解除合作；考核退出指渠道因未达到考核要求被中国移动解除合作；违规退出指渠道在合作过程中发生重大违规事件，被强制解除合作。</w:t>
      </w:r>
    </w:p>
    <w:p w14:paraId="31CE3DF2">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社会渠道退出应由省（区、市）公司或地市分公司进行审批。渠道退出后，要在相关业务系统中关闭相关权限，修改渠道状态，保留一年以上相关业务办理和渠道费用结算等记录。需要回收号卡的，须做好号卡等产品的回收。严禁其他签约渠道向已退出的渠道供应产品。对于违规退出的，须按相关规定进行处罚。对于连锁渠道，考核退出后，该渠道的所属门店仍可选择性开展零散卖场的单店合作。</w:t>
      </w:r>
    </w:p>
    <w:p w14:paraId="1B2EC01E">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对于变更经营主体的渠道，应按照社会渠道引入退出的相关要求，评估新经营主体的资质，签订新的合作协议。</w:t>
      </w:r>
    </w:p>
    <w:p w14:paraId="16797B41">
      <w:pPr>
        <w:adjustRightInd w:val="0"/>
        <w:snapToGrid w:val="0"/>
        <w:spacing w:line="360" w:lineRule="auto"/>
        <w:rPr>
          <w:rFonts w:ascii="仿宋_GB2312" w:eastAsia="仿宋_GB2312"/>
          <w:szCs w:val="21"/>
        </w:rPr>
      </w:pPr>
    </w:p>
    <w:p w14:paraId="79A79D04">
      <w:pPr>
        <w:pStyle w:val="2"/>
        <w:numPr>
          <w:ilvl w:val="0"/>
          <w:numId w:val="0"/>
        </w:numPr>
        <w:adjustRightInd w:val="0"/>
        <w:snapToGrid w:val="0"/>
        <w:spacing w:before="0" w:after="0" w:line="360" w:lineRule="auto"/>
        <w:rPr>
          <w:rFonts w:ascii="黑体" w:hAnsi="黑体" w:eastAsia="黑体"/>
          <w:b w:val="0"/>
          <w:sz w:val="28"/>
          <w:szCs w:val="28"/>
        </w:rPr>
      </w:pPr>
      <w:bookmarkStart w:id="13" w:name="_Toc501109561"/>
      <w:r>
        <w:rPr>
          <w:rFonts w:hint="eastAsia" w:ascii="黑体" w:hAnsi="黑体" w:eastAsia="黑体"/>
          <w:b w:val="0"/>
          <w:sz w:val="28"/>
          <w:szCs w:val="28"/>
        </w:rPr>
        <w:t>第四章 社会渠道费用管理</w:t>
      </w:r>
      <w:bookmarkEnd w:id="13"/>
    </w:p>
    <w:p w14:paraId="5311B5FC"/>
    <w:p w14:paraId="4312E8F8">
      <w:pPr>
        <w:pStyle w:val="3"/>
        <w:adjustRightInd w:val="0"/>
        <w:snapToGrid w:val="0"/>
        <w:spacing w:before="0" w:after="0" w:line="360" w:lineRule="auto"/>
        <w:rPr>
          <w:rFonts w:ascii="楷体_GB2312" w:eastAsia="楷体_GB2312" w:hAnsiTheme="minorEastAsia"/>
          <w:b w:val="0"/>
          <w:szCs w:val="28"/>
        </w:rPr>
      </w:pPr>
      <w:bookmarkStart w:id="14" w:name="_Toc501109562"/>
      <w:r>
        <w:rPr>
          <w:rFonts w:hint="eastAsia" w:ascii="楷体_GB2312" w:eastAsia="楷体_GB2312" w:hAnsiTheme="minorEastAsia"/>
          <w:b w:val="0"/>
          <w:szCs w:val="28"/>
        </w:rPr>
        <w:t>第一节 费用分类</w:t>
      </w:r>
      <w:bookmarkEnd w:id="14"/>
    </w:p>
    <w:p w14:paraId="679DEC59">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社会渠道费用主要包括手续费和服务费。手续费是渠道商为新客户入网时办理业务，以及销售充值卡所获取的报酬。渠道商从公司取得的其他报酬为社会渠道服务费，包括基础服务费和激励服务费。</w:t>
      </w:r>
    </w:p>
    <w:p w14:paraId="509C0F94">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基础服务费是渠道商为客户办理中国移动产品、业务所获取的报酬，是基于统一销售目录的服务费单价，按照业务销量计算的基础性服务费，以及与业务达量奖励直接相关的费用。</w:t>
      </w:r>
    </w:p>
    <w:p w14:paraId="25ACF995">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激励服务费是向优质社会渠道提供的附加激励费用，是根据社会渠道的经营、租金、合作紧密度等情况，支付给渠道商的费用。激励服务费原则上不超过社会渠道费用总额的15%，如确有需要，可经过省（区、市）公司“三重一大”项目决策流程，提高激励服务费占比，最高不得超过20%。激励服务费中与租金相关的费用不应超过同批次的装修总价或同周期的租金费用。</w:t>
      </w:r>
    </w:p>
    <w:p w14:paraId="23AA27F3">
      <w:pPr>
        <w:pStyle w:val="3"/>
        <w:adjustRightInd w:val="0"/>
        <w:snapToGrid w:val="0"/>
        <w:spacing w:before="0" w:after="0" w:line="360" w:lineRule="auto"/>
        <w:rPr>
          <w:rFonts w:ascii="楷体_GB2312" w:hAnsi="仿宋_GB2312" w:eastAsia="楷体_GB2312"/>
          <w:b w:val="0"/>
          <w:szCs w:val="28"/>
        </w:rPr>
      </w:pPr>
      <w:bookmarkStart w:id="15" w:name="_Toc413146050"/>
      <w:bookmarkStart w:id="16" w:name="_Toc415663104"/>
      <w:bookmarkStart w:id="17" w:name="_Toc501109563"/>
      <w:r>
        <w:rPr>
          <w:rFonts w:hint="eastAsia" w:ascii="楷体_GB2312" w:hAnsi="仿宋_GB2312" w:eastAsia="楷体_GB2312"/>
          <w:b w:val="0"/>
          <w:szCs w:val="28"/>
        </w:rPr>
        <w:t>第二节 社会渠道费用管理</w:t>
      </w:r>
      <w:bookmarkEnd w:id="15"/>
      <w:bookmarkEnd w:id="16"/>
      <w:r>
        <w:rPr>
          <w:rFonts w:hint="eastAsia" w:ascii="楷体_GB2312" w:hAnsi="仿宋_GB2312" w:eastAsia="楷体_GB2312"/>
          <w:b w:val="0"/>
          <w:szCs w:val="28"/>
        </w:rPr>
        <w:t>要求</w:t>
      </w:r>
      <w:bookmarkEnd w:id="17"/>
    </w:p>
    <w:p w14:paraId="4DE1A0FE">
      <w:pPr>
        <w:pStyle w:val="39"/>
        <w:widowControl/>
        <w:numPr>
          <w:ilvl w:val="0"/>
          <w:numId w:val="3"/>
        </w:numPr>
        <w:adjustRightInd w:val="0"/>
        <w:snapToGrid w:val="0"/>
        <w:spacing w:line="360" w:lineRule="auto"/>
        <w:ind w:firstLineChars="0"/>
        <w:jc w:val="left"/>
        <w:rPr>
          <w:rFonts w:ascii="宋体" w:hAnsi="宋体" w:cs="宋体"/>
          <w:kern w:val="0"/>
          <w:sz w:val="24"/>
        </w:rPr>
      </w:pPr>
      <w:r>
        <w:rPr>
          <w:rFonts w:hint="eastAsia" w:ascii="仿宋_GB2312" w:eastAsia="仿宋_GB2312"/>
          <w:sz w:val="28"/>
          <w:szCs w:val="28"/>
        </w:rPr>
        <w:t>市场部门是社会渠道费用的业务归口管理部门，负责制定销售目录和社会渠道费用标准，及社会渠道费用的统一管理。总部制定全网销售目录和社会渠道费用上限标准，各省（区、市）公司根据全网规则，按照社会渠道费用和客户价值挂钩的原则，制定本省（区、市）各类业务的社会渠道费用上限标准及政策模板，地市分公司在省（区、市）公司模版基础上进行具体配置。各省（区、市）公司应每年向总部报备销售目录和社会渠道费用标准。地市分公司未经省（区、市）公司批准，不得自行制定销售目录和社会渠道费用标准</w:t>
      </w:r>
      <w:r>
        <w:rPr>
          <w:rFonts w:hint="eastAsia" w:ascii="宋体" w:hAnsi="宋体" w:cs="宋体"/>
          <w:kern w:val="0"/>
          <w:sz w:val="24"/>
        </w:rPr>
        <w:t xml:space="preserve"> 。</w:t>
      </w:r>
    </w:p>
    <w:p w14:paraId="3426A7AA">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社会渠道费用管理需严格按照“事前预计、事中监控、事后评估”的办法执行，各省（区、市）公司每年应对上一年度社会渠道费用使用效率进行评估。</w:t>
      </w:r>
    </w:p>
    <w:p w14:paraId="5F77DD74">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制定单项业务的社会渠道费用标准时，应建立统筹、审批机制，以避免存在渠道套利空间。社会渠道费用标准的制定应遵循以下原则：</w:t>
      </w:r>
    </w:p>
    <w:p w14:paraId="35B399B6">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（一）整体性，渠道费用政策应服从于整体市场策略，依据各产品定位，结合营销政策进行制定。</w:t>
      </w:r>
    </w:p>
    <w:p w14:paraId="0B9AD2D4">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（二）效益性：结合产品的收益和成本评估，确保产品营销具备短期效益或长期效益。</w:t>
      </w:r>
    </w:p>
    <w:p w14:paraId="020685E4">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（三）竞争性：与竞争对手同质的产品比较，社会渠道费用标准应具备竞争优势。</w:t>
      </w:r>
    </w:p>
    <w:p w14:paraId="734ABC4E">
      <w:pPr>
        <w:numPr>
          <w:ilvl w:val="0"/>
          <w:numId w:val="3"/>
        </w:numPr>
        <w:adjustRightInd w:val="0"/>
        <w:snapToGrid w:val="0"/>
        <w:spacing w:line="360" w:lineRule="auto"/>
        <w:rPr>
          <w:rFonts w:ascii="仿宋_GB2312" w:eastAsia="仿宋_GB2312"/>
        </w:rPr>
      </w:pPr>
      <w:r>
        <w:rPr>
          <w:rFonts w:hint="eastAsia" w:ascii="仿宋_GB2312" w:eastAsia="仿宋_GB2312"/>
          <w:sz w:val="28"/>
          <w:szCs w:val="28"/>
        </w:rPr>
        <w:t>社会渠道销售目录主要包括：套餐、合约、充值缴费、4G客户服务及保有、宽带、集团业务、新业务、服务办理，采取上限管控的模式，各省（区、市）公司在上限标准下，制定本省的社会渠道费用标准，不得随意改变业务名称突破上限标准。各省（区、市）公司可依据本地市场需要，经省（区、市）公司决策流程，增加销售目录项目。各类社会渠道费用标准及细则以总部下发的最新专业性指导文件为准。</w:t>
      </w:r>
    </w:p>
    <w:p w14:paraId="7E1D29BD">
      <w:pPr>
        <w:pStyle w:val="3"/>
        <w:adjustRightInd w:val="0"/>
        <w:snapToGrid w:val="0"/>
        <w:spacing w:before="0" w:after="0" w:line="360" w:lineRule="auto"/>
        <w:rPr>
          <w:rFonts w:ascii="楷体_GB2312" w:hAnsi="仿宋_GB2312" w:eastAsia="楷体_GB2312"/>
          <w:b w:val="0"/>
          <w:szCs w:val="28"/>
        </w:rPr>
      </w:pPr>
      <w:bookmarkStart w:id="18" w:name="_Toc501109564"/>
      <w:r>
        <w:rPr>
          <w:rFonts w:hint="eastAsia" w:ascii="楷体_GB2312" w:hAnsi="仿宋_GB2312" w:eastAsia="楷体_GB2312"/>
          <w:b w:val="0"/>
          <w:szCs w:val="28"/>
        </w:rPr>
        <w:t>第三节 社会渠道费用支付</w:t>
      </w:r>
      <w:bookmarkEnd w:id="18"/>
    </w:p>
    <w:p w14:paraId="1F2E0911">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建立社会渠道费用的考核和递延支付制度，制定各类业务社会渠道费用的支付周期，原则上应于考核月的下一月份完成考核月社会渠道费用的支付工作。</w:t>
      </w:r>
    </w:p>
    <w:p w14:paraId="59C22A9C">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社会渠道费用应由各省（区、市）公司财务部门根据渠道主管部门提供的社会渠道信息，以银行转账方式支付，不得通过现金、充值卡等方式支付，不得通过中国移动员工转付。渠道商应向中国移动开具增值税发票或代开发票。</w:t>
      </w:r>
    </w:p>
    <w:p w14:paraId="77CA91B3">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社会渠道费用支付对象仅限于与中国移动签订合作协议的社会渠道。未列入销售目录的业务不得支付相关费用。电子渠道费用标准不应高于实体渠道。</w:t>
      </w:r>
    </w:p>
    <w:p w14:paraId="43BC0C4F">
      <w:pPr>
        <w:pStyle w:val="3"/>
        <w:adjustRightInd w:val="0"/>
        <w:snapToGrid w:val="0"/>
        <w:spacing w:before="0" w:after="0" w:line="360" w:lineRule="auto"/>
        <w:rPr>
          <w:rFonts w:ascii="楷体_GB2312" w:hAnsi="仿宋_GB2312" w:eastAsia="楷体_GB2312"/>
          <w:b w:val="0"/>
          <w:szCs w:val="28"/>
        </w:rPr>
      </w:pPr>
      <w:bookmarkStart w:id="19" w:name="_Toc413146052"/>
      <w:bookmarkStart w:id="20" w:name="_Toc501109565"/>
      <w:bookmarkStart w:id="21" w:name="_Toc415663106"/>
      <w:r>
        <w:rPr>
          <w:rFonts w:hint="eastAsia" w:ascii="楷体_GB2312" w:hAnsi="仿宋_GB2312" w:eastAsia="楷体_GB2312"/>
          <w:b w:val="0"/>
          <w:szCs w:val="28"/>
        </w:rPr>
        <w:t xml:space="preserve">第四节 </w:t>
      </w:r>
      <w:bookmarkStart w:id="22" w:name="_Toc351739776"/>
      <w:r>
        <w:rPr>
          <w:rFonts w:hint="eastAsia" w:ascii="楷体_GB2312" w:hAnsi="仿宋_GB2312" w:eastAsia="楷体_GB2312"/>
          <w:b w:val="0"/>
          <w:szCs w:val="28"/>
        </w:rPr>
        <w:t>非社会渠道费用激励管理</w:t>
      </w:r>
      <w:bookmarkEnd w:id="19"/>
      <w:bookmarkEnd w:id="20"/>
      <w:bookmarkEnd w:id="21"/>
      <w:bookmarkEnd w:id="22"/>
    </w:p>
    <w:p w14:paraId="2F568EF3">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各省（区、市）公司应积极拓展社会渠道费用之外的激励措施，梳理和封装“线上开店、线上引流、引商入柜、联合营销、优先供货、集中服务、专业培训、数据挖掘”等非社会渠道费用要素，并根据不同渠道的星级制定输出标准，由省市两级分层审批实施。</w:t>
      </w:r>
    </w:p>
    <w:p w14:paraId="51D3D24F">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（一）线上开店：在手机营业厅为优质渠道线上开店，拓宽销售途径。</w:t>
      </w:r>
    </w:p>
    <w:p w14:paraId="0653AD90">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（二）线上引流：通过线上电子渠道的传播，引导客户到线下优质的渠道网点购买产品。</w:t>
      </w:r>
    </w:p>
    <w:p w14:paraId="7996148E">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（三）引商入柜：优质社会渠道优先在直营店引商入柜。</w:t>
      </w:r>
    </w:p>
    <w:p w14:paraId="13524969">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（四）联合营销：联合厂商和渠道商，各自投入资源，开展炒店等营销活动。</w:t>
      </w:r>
    </w:p>
    <w:p w14:paraId="5C4FA43E">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（五）优先供货：协调终端厂商，向优质渠道优先提供新品、爆款等优质货源。</w:t>
      </w:r>
    </w:p>
    <w:p w14:paraId="2180D593">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（六）集中服务：集中支撑的渠道热线服务，提供费用查询、业务咨询等服务。</w:t>
      </w:r>
    </w:p>
    <w:p w14:paraId="3FC0F628">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（七）专业培训：提供业务相关知识和能力培训。</w:t>
      </w:r>
    </w:p>
    <w:p w14:paraId="35E2F516">
      <w:pPr>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（八）数据挖掘：向优质社会渠道提供分析整理后的渠道数据，支撑精确营销。但应同时注意保护客户隐私，防止泄露客户信息。</w:t>
      </w:r>
    </w:p>
    <w:p w14:paraId="45561C4E">
      <w:pPr>
        <w:pStyle w:val="3"/>
        <w:adjustRightInd w:val="0"/>
        <w:snapToGrid w:val="0"/>
        <w:spacing w:before="0" w:after="0" w:line="360" w:lineRule="auto"/>
        <w:rPr>
          <w:rFonts w:ascii="楷体_GB2312" w:hAnsi="仿宋_GB2312" w:eastAsia="楷体_GB2312"/>
          <w:b w:val="0"/>
          <w:bCs w:val="0"/>
          <w:szCs w:val="28"/>
        </w:rPr>
      </w:pPr>
      <w:bookmarkStart w:id="23" w:name="_Toc501109566"/>
      <w:r>
        <w:rPr>
          <w:rFonts w:hint="eastAsia" w:ascii="楷体_GB2312" w:hAnsi="仿宋_GB2312" w:eastAsia="楷体_GB2312"/>
          <w:b w:val="0"/>
          <w:szCs w:val="28"/>
        </w:rPr>
        <w:t xml:space="preserve">第五节 </w:t>
      </w:r>
      <w:bookmarkStart w:id="24" w:name="_Toc415663114"/>
      <w:r>
        <w:rPr>
          <w:rFonts w:hint="eastAsia" w:ascii="楷体_GB2312" w:hAnsi="仿宋_GB2312" w:eastAsia="楷体_GB2312"/>
          <w:b w:val="0"/>
          <w:szCs w:val="28"/>
        </w:rPr>
        <w:t>社会渠道费用系统</w:t>
      </w:r>
      <w:bookmarkEnd w:id="24"/>
      <w:r>
        <w:rPr>
          <w:rFonts w:hint="eastAsia" w:ascii="楷体_GB2312" w:hAnsi="仿宋_GB2312" w:eastAsia="楷体_GB2312"/>
          <w:b w:val="0"/>
          <w:szCs w:val="28"/>
        </w:rPr>
        <w:t>支撑</w:t>
      </w:r>
      <w:bookmarkEnd w:id="23"/>
    </w:p>
    <w:p w14:paraId="24828A39">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各省（区、市）公司建立省级集中的社会渠道费用管理系统，实现社会渠道费用的全流程系统化管控，自动生成数据，其中激励服务费和扣罚部分可通过系统外录入，非系统计算核增的费用不得高于社会渠道费用总额的15%，且录入过程需系统化记录留痕。同时，需建立标准化的系统稽核、审核流程，应实现社会渠道费用计算结果自动传送至报账系统。</w:t>
      </w:r>
    </w:p>
    <w:p w14:paraId="70368DCC">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社会渠道费用管理系统应支持按照不同维度进行费用的查询和导出功能，通过信息化手段向渠道商提供渠道费用的查询服务。社会渠道费用须在系统中长期保存或备份。</w:t>
      </w:r>
    </w:p>
    <w:p w14:paraId="6474FE6C">
      <w:pPr>
        <w:pStyle w:val="39"/>
        <w:adjustRightInd w:val="0"/>
        <w:snapToGrid w:val="0"/>
        <w:spacing w:line="360" w:lineRule="auto"/>
        <w:ind w:firstLine="0" w:firstLineChars="0"/>
        <w:rPr>
          <w:rFonts w:ascii="仿宋_GB2312" w:eastAsia="仿宋_GB2312"/>
          <w:szCs w:val="21"/>
        </w:rPr>
      </w:pPr>
    </w:p>
    <w:p w14:paraId="7B4D5FE1">
      <w:pPr>
        <w:pStyle w:val="2"/>
        <w:numPr>
          <w:ilvl w:val="0"/>
          <w:numId w:val="0"/>
        </w:numPr>
        <w:adjustRightInd w:val="0"/>
        <w:snapToGrid w:val="0"/>
        <w:spacing w:before="0" w:after="0" w:line="360" w:lineRule="auto"/>
        <w:rPr>
          <w:rFonts w:ascii="黑体" w:hAnsi="黑体" w:eastAsia="黑体"/>
          <w:b w:val="0"/>
          <w:sz w:val="28"/>
          <w:szCs w:val="28"/>
        </w:rPr>
      </w:pPr>
      <w:bookmarkStart w:id="25" w:name="_Toc501109567"/>
      <w:r>
        <w:rPr>
          <w:rFonts w:hint="eastAsia" w:ascii="黑体" w:hAnsi="黑体" w:eastAsia="黑体"/>
          <w:b w:val="0"/>
          <w:sz w:val="28"/>
          <w:szCs w:val="28"/>
        </w:rPr>
        <w:t>第五章  运营管理</w:t>
      </w:r>
      <w:bookmarkEnd w:id="25"/>
    </w:p>
    <w:p w14:paraId="7AF8451D"/>
    <w:p w14:paraId="01B2AD94">
      <w:pPr>
        <w:pStyle w:val="3"/>
        <w:adjustRightInd w:val="0"/>
        <w:snapToGrid w:val="0"/>
        <w:spacing w:before="0" w:after="0" w:line="360" w:lineRule="auto"/>
        <w:rPr>
          <w:rFonts w:ascii="楷体_GB2312" w:eastAsia="楷体_GB2312" w:hAnsiTheme="minorEastAsia"/>
          <w:b w:val="0"/>
          <w:szCs w:val="28"/>
        </w:rPr>
      </w:pPr>
      <w:bookmarkStart w:id="26" w:name="_Toc501109568"/>
      <w:r>
        <w:rPr>
          <w:rFonts w:hint="eastAsia" w:ascii="楷体_GB2312" w:eastAsia="楷体_GB2312" w:hAnsiTheme="minorEastAsia"/>
          <w:b w:val="0"/>
          <w:szCs w:val="28"/>
        </w:rPr>
        <w:t>第一节 集中化管理</w:t>
      </w:r>
      <w:bookmarkEnd w:id="26"/>
    </w:p>
    <w:p w14:paraId="070DD41E">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组织机构</w:t>
      </w:r>
    </w:p>
    <w:p w14:paraId="49772A31">
      <w:pPr>
        <w:adjustRightInd w:val="0"/>
        <w:snapToGrid w:val="0"/>
        <w:spacing w:line="360" w:lineRule="auto"/>
        <w:ind w:firstLine="570"/>
        <w:rPr>
          <w:rFonts w:ascii="仿宋_GB2312" w:hAnsi="仿宋" w:eastAsia="仿宋_GB2312"/>
          <w:kern w:val="0"/>
          <w:sz w:val="28"/>
          <w:szCs w:val="28"/>
        </w:rPr>
      </w:pPr>
      <w:r>
        <w:rPr>
          <w:rFonts w:hint="eastAsia" w:ascii="仿宋_GB2312" w:hAnsi="仿宋" w:eastAsia="仿宋_GB2312"/>
          <w:kern w:val="0"/>
          <w:sz w:val="28"/>
          <w:szCs w:val="28"/>
        </w:rPr>
        <w:t>（一）各省（区、市）公司建立渠道集中化管理部门，统一负责全省社会渠道的集中管理，包括制定、优化社会渠道运营管理规范和流程，建设和维护集中支撑系统，统筹管理社会渠道营销所需资源，做好需求分析、监控分析等。</w:t>
      </w:r>
    </w:p>
    <w:p w14:paraId="65F431BF">
      <w:pPr>
        <w:adjustRightInd w:val="0"/>
        <w:snapToGrid w:val="0"/>
        <w:spacing w:line="360" w:lineRule="auto"/>
        <w:ind w:firstLine="570"/>
        <w:rPr>
          <w:rFonts w:ascii="仿宋_GB2312" w:eastAsia="仿宋_GB2312"/>
        </w:rPr>
      </w:pPr>
      <w:r>
        <w:rPr>
          <w:rFonts w:hint="eastAsia" w:ascii="仿宋_GB2312" w:hAnsi="仿宋" w:eastAsia="仿宋_GB2312"/>
          <w:kern w:val="0"/>
          <w:sz w:val="28"/>
          <w:szCs w:val="28"/>
        </w:rPr>
        <w:t>（二）地市分公司建立渠道集中化管理部门，统一负责对社会渠道进行运营管理，负责日常运营，与渠道商的沟通协调、渠道关系维护，以及监督检查等。</w:t>
      </w:r>
    </w:p>
    <w:p w14:paraId="34ABB54F">
      <w:pPr>
        <w:pStyle w:val="3"/>
        <w:adjustRightInd w:val="0"/>
        <w:snapToGrid w:val="0"/>
        <w:spacing w:before="0" w:after="0" w:line="360" w:lineRule="auto"/>
        <w:jc w:val="both"/>
        <w:rPr>
          <w:rFonts w:ascii="楷体_GB2312" w:eastAsia="楷体_GB2312" w:hAnsiTheme="minorEastAsia"/>
          <w:b w:val="0"/>
          <w:szCs w:val="28"/>
        </w:rPr>
      </w:pPr>
      <w:r>
        <w:rPr>
          <w:rFonts w:hint="eastAsia" w:ascii="楷体_GB2312" w:eastAsia="楷体_GB2312"/>
          <w:b w:val="0"/>
        </w:rPr>
        <w:t xml:space="preserve">                     </w:t>
      </w:r>
      <w:r>
        <w:rPr>
          <w:rFonts w:hint="eastAsia" w:ascii="楷体_GB2312" w:eastAsia="楷体_GB2312" w:hAnsiTheme="minorEastAsia"/>
          <w:b w:val="0"/>
          <w:szCs w:val="28"/>
        </w:rPr>
        <w:t xml:space="preserve"> </w:t>
      </w:r>
      <w:bookmarkStart w:id="27" w:name="_Toc501109569"/>
      <w:r>
        <w:rPr>
          <w:rFonts w:hint="eastAsia" w:ascii="楷体_GB2312" w:eastAsia="楷体_GB2312" w:hAnsiTheme="minorEastAsia"/>
          <w:b w:val="0"/>
          <w:szCs w:val="28"/>
        </w:rPr>
        <w:t>第二节 运营管理</w:t>
      </w:r>
      <w:bookmarkEnd w:id="27"/>
    </w:p>
    <w:p w14:paraId="74BD7932">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hAnsi="仿宋" w:eastAsia="仿宋_GB2312"/>
          <w:kern w:val="0"/>
          <w:sz w:val="28"/>
          <w:szCs w:val="28"/>
        </w:rPr>
        <w:t>社会渠道统一实行分层分级管理，建立公正、公平、透明的渠道星级评定体系，具体应遵循如下规定：</w:t>
      </w:r>
    </w:p>
    <w:p w14:paraId="3B20A2B4">
      <w:pPr>
        <w:pStyle w:val="39"/>
        <w:tabs>
          <w:tab w:val="left" w:pos="426"/>
        </w:tabs>
        <w:adjustRightInd w:val="0"/>
        <w:snapToGrid w:val="0"/>
        <w:spacing w:line="360" w:lineRule="auto"/>
        <w:ind w:firstLine="565" w:firstLineChars="202"/>
        <w:rPr>
          <w:rFonts w:ascii="仿宋_GB2312" w:hAnsi="仿宋" w:eastAsia="仿宋_GB2312"/>
          <w:kern w:val="0"/>
          <w:sz w:val="28"/>
          <w:szCs w:val="28"/>
        </w:rPr>
      </w:pPr>
      <w:r>
        <w:rPr>
          <w:rFonts w:hint="eastAsia" w:ascii="仿宋_GB2312" w:hAnsi="仿宋" w:eastAsia="仿宋_GB2312"/>
          <w:kern w:val="0"/>
          <w:sz w:val="28"/>
          <w:szCs w:val="28"/>
        </w:rPr>
        <w:t>（一）所有社会实体渠道均要纳入星级评定，社会渠道网点共分为1－6个级别，对应1-6星，其中1星店级别最低、6星店级别最高。</w:t>
      </w:r>
    </w:p>
    <w:p w14:paraId="24C18637">
      <w:pPr>
        <w:pStyle w:val="39"/>
        <w:adjustRightInd w:val="0"/>
        <w:snapToGrid w:val="0"/>
        <w:spacing w:line="360" w:lineRule="auto"/>
        <w:ind w:firstLine="565" w:firstLineChars="202"/>
        <w:rPr>
          <w:rFonts w:ascii="仿宋_GB2312" w:hAnsi="仿宋" w:eastAsia="仿宋_GB2312"/>
          <w:kern w:val="0"/>
          <w:sz w:val="28"/>
          <w:szCs w:val="28"/>
        </w:rPr>
      </w:pPr>
      <w:r>
        <w:rPr>
          <w:rFonts w:hint="eastAsia" w:ascii="仿宋_GB2312" w:hAnsi="仿宋" w:eastAsia="仿宋_GB2312"/>
          <w:kern w:val="0"/>
          <w:sz w:val="28"/>
          <w:szCs w:val="28"/>
        </w:rPr>
        <w:t>（二）各省（区、市）公司应建立标准统一、过程透明、依据清晰的星级评定规则。星级评定的方式要客观公正，通过系统提取的客观量化指标权重不低于70%，评定的周期每年不少于一次。星级评定的结果应作为制定渠道费用标准的主要依据。</w:t>
      </w:r>
    </w:p>
    <w:p w14:paraId="7815A984">
      <w:pPr>
        <w:pStyle w:val="39"/>
        <w:numPr>
          <w:ilvl w:val="0"/>
          <w:numId w:val="3"/>
        </w:numPr>
        <w:adjustRightInd w:val="0"/>
        <w:snapToGrid w:val="0"/>
        <w:spacing w:line="360" w:lineRule="auto"/>
        <w:ind w:firstLineChars="0"/>
        <w:rPr>
          <w:rFonts w:ascii="仿宋_GB2312" w:hAnsi="仿宋" w:eastAsia="仿宋_GB2312"/>
          <w:b/>
          <w:kern w:val="0"/>
          <w:sz w:val="28"/>
          <w:szCs w:val="28"/>
        </w:rPr>
      </w:pPr>
      <w:r>
        <w:rPr>
          <w:rFonts w:hint="eastAsia" w:ascii="仿宋_GB2312" w:hAnsi="仿宋" w:eastAsia="仿宋_GB2312"/>
          <w:sz w:val="28"/>
          <w:szCs w:val="28"/>
        </w:rPr>
        <w:t>各省（区、市）公司应根据社会渠道分层分级的标准，建立严格对应的业务授权规则。</w:t>
      </w:r>
    </w:p>
    <w:p w14:paraId="4DFA09FE">
      <w:pPr>
        <w:pStyle w:val="39"/>
        <w:adjustRightInd w:val="0"/>
        <w:snapToGrid w:val="0"/>
        <w:spacing w:line="360" w:lineRule="auto"/>
        <w:ind w:firstLine="0" w:firstLineChars="0"/>
        <w:rPr>
          <w:rFonts w:ascii="仿宋_GB2312" w:hAnsi="仿宋" w:eastAsia="仿宋_GB2312"/>
          <w:sz w:val="28"/>
          <w:szCs w:val="28"/>
        </w:rPr>
      </w:pPr>
      <w:r>
        <w:rPr>
          <w:rFonts w:hint="eastAsia" w:ascii="仿宋_GB2312" w:hAnsi="仿宋" w:eastAsia="仿宋_GB2312"/>
          <w:sz w:val="28"/>
          <w:szCs w:val="28"/>
        </w:rPr>
        <w:t xml:space="preserve">    （一）不得无故扩大社会渠道的业务授权范围，尤其针对高风险敏感业务，应建立全量稽核制度。</w:t>
      </w:r>
    </w:p>
    <w:p w14:paraId="24852B84">
      <w:pPr>
        <w:pStyle w:val="39"/>
        <w:adjustRightInd w:val="0"/>
        <w:snapToGrid w:val="0"/>
        <w:spacing w:line="360" w:lineRule="auto"/>
        <w:ind w:firstLine="0" w:firstLineChars="0"/>
        <w:rPr>
          <w:rFonts w:ascii="仿宋_GB2312" w:hAnsi="仿宋" w:eastAsia="仿宋_GB2312"/>
          <w:sz w:val="28"/>
          <w:szCs w:val="28"/>
        </w:rPr>
      </w:pPr>
      <w:r>
        <w:rPr>
          <w:rFonts w:hint="eastAsia" w:ascii="仿宋_GB2312" w:hAnsi="仿宋" w:eastAsia="仿宋_GB2312"/>
          <w:sz w:val="28"/>
          <w:szCs w:val="28"/>
        </w:rPr>
        <w:t xml:space="preserve">    （二）原则上禁止向授权店开放“过户、销户和补卡”等高风险业务办理权限，对于有派驻店长或配备督导的渠道，可开放“过户、销户和补卡”权限，但需要店长或督导授权办理。</w:t>
      </w:r>
    </w:p>
    <w:p w14:paraId="246AD11E">
      <w:pPr>
        <w:pStyle w:val="39"/>
        <w:adjustRightInd w:val="0"/>
        <w:snapToGrid w:val="0"/>
        <w:spacing w:line="360" w:lineRule="auto"/>
        <w:ind w:firstLine="0" w:firstLineChars="0"/>
        <w:rPr>
          <w:rFonts w:ascii="仿宋_GB2312" w:hAnsi="仿宋" w:eastAsia="仿宋_GB2312"/>
          <w:sz w:val="28"/>
          <w:szCs w:val="28"/>
        </w:rPr>
      </w:pPr>
      <w:r>
        <w:rPr>
          <w:rFonts w:hint="eastAsia" w:ascii="仿宋_GB2312" w:hAnsi="仿宋" w:eastAsia="仿宋_GB2312"/>
          <w:sz w:val="28"/>
          <w:szCs w:val="28"/>
        </w:rPr>
        <w:t xml:space="preserve">    （三）严禁向加盟店、授权店等社会渠道开放跨省充值缴费业务权限，严禁开放跨省及省内充值缴费等现金类业务的回退冲正权限（含回退现金、充值卡；回退到银行卡、支付工具等各类支付方式）。</w:t>
      </w:r>
    </w:p>
    <w:p w14:paraId="0BE78084">
      <w:pPr>
        <w:pStyle w:val="39"/>
        <w:adjustRightInd w:val="0"/>
        <w:snapToGrid w:val="0"/>
        <w:spacing w:line="360" w:lineRule="auto"/>
        <w:ind w:firstLine="0" w:firstLineChars="0"/>
        <w:rPr>
          <w:rFonts w:ascii="仿宋_GB2312" w:hAnsi="仿宋" w:eastAsia="仿宋_GB2312"/>
          <w:sz w:val="28"/>
          <w:szCs w:val="28"/>
        </w:rPr>
      </w:pPr>
      <w:r>
        <w:rPr>
          <w:rFonts w:hint="eastAsia" w:ascii="仿宋_GB2312" w:hAnsi="仿宋" w:eastAsia="仿宋_GB2312"/>
          <w:sz w:val="28"/>
          <w:szCs w:val="28"/>
        </w:rPr>
        <w:t xml:space="preserve">    （四）严控社会渠道的经营范围，加强监督和检查，严禁社会渠道囤积、倒卖非从中国移动领取的卡号，严禁在店内私自向客户加价或高价贩卖卡号。</w:t>
      </w:r>
    </w:p>
    <w:p w14:paraId="7A87B98F">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hAnsi="仿宋" w:eastAsia="仿宋_GB2312"/>
          <w:sz w:val="28"/>
          <w:szCs w:val="28"/>
        </w:rPr>
        <w:t>社会实体渠道要缴纳一定的履约保证金，为保证营业资金安全，对于不同营业资金归集方式要制定相应的保证金标准，并根据渠道业务量变化及时调整保证金金额，保证覆盖风险。</w:t>
      </w:r>
      <w:r>
        <w:rPr>
          <w:rFonts w:hint="eastAsia" w:ascii="仿宋_GB2312" w:hAnsi="仿宋" w:eastAsia="仿宋_GB2312"/>
          <w:kern w:val="0"/>
          <w:sz w:val="28"/>
          <w:szCs w:val="28"/>
        </w:rPr>
        <w:t>如出现保证金扣罚，应在规定的时间内进行补足，不得使用营业款退回社会渠道保证金，不得通过自有营业厅退还保证金。对未能及时补足保证金的渠道，应限制其业务受理权限。</w:t>
      </w:r>
    </w:p>
    <w:p w14:paraId="4434D3A4">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hAnsi="仿宋" w:eastAsia="仿宋_GB2312"/>
          <w:kern w:val="0"/>
          <w:sz w:val="28"/>
          <w:szCs w:val="28"/>
        </w:rPr>
        <w:t>渠道经理作为辖区内渠道和营销工作的组织者，负责日常巡店、政策宣贯、宣传支撑、指标监督、沟通反馈、渠道维系、市场洞察等多项职责。各省（区、市）公司应合理设置渠道经理的人员配置，确保有足够的渠道经理维系和监督渠道。</w:t>
      </w:r>
    </w:p>
    <w:p w14:paraId="642A8FA9">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hAnsi="仿宋" w:eastAsia="仿宋_GB2312" w:cs="仿宋"/>
          <w:sz w:val="28"/>
          <w:szCs w:val="28"/>
        </w:rPr>
        <w:t>各省（区、市）公司应建立社会渠道的监控预警机制，通过信息化的手段，设计监控模型，及时发现社会渠道的异常业务行为，建立闭环的渠道异常的发现、查证和处理流程。</w:t>
      </w:r>
    </w:p>
    <w:p w14:paraId="26938D16">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hAnsi="仿宋" w:eastAsia="仿宋_GB2312" w:cs="仿宋"/>
          <w:sz w:val="28"/>
          <w:szCs w:val="28"/>
        </w:rPr>
        <w:t>社会渠道开展号卡销售需严格执行实名制相关法规要求，</w:t>
      </w:r>
      <w:r>
        <w:rPr>
          <w:rFonts w:hint="eastAsia" w:ascii="仿宋_GB2312" w:eastAsia="仿宋_GB2312"/>
          <w:sz w:val="28"/>
          <w:szCs w:val="28"/>
        </w:rPr>
        <w:t>并按照规范标准张贴（悬挂）社会渠道统一编码的授权信息。</w:t>
      </w:r>
    </w:p>
    <w:p w14:paraId="63AD6961">
      <w:pPr>
        <w:pStyle w:val="14"/>
        <w:widowControl/>
        <w:adjustRightInd w:val="0"/>
        <w:snapToGrid w:val="0"/>
        <w:spacing w:beforeAutospacing="0" w:afterAutospacing="0" w:line="360" w:lineRule="auto"/>
        <w:ind w:firstLine="562"/>
        <w:rPr>
          <w:rFonts w:ascii="仿宋_GB2312" w:hAnsi="仿宋" w:eastAsia="仿宋_GB2312" w:cs="仿宋"/>
          <w:sz w:val="28"/>
          <w:szCs w:val="28"/>
        </w:rPr>
      </w:pPr>
      <w:r>
        <w:rPr>
          <w:rFonts w:hint="eastAsia" w:ascii="仿宋_GB2312" w:hAnsi="仿宋" w:eastAsia="仿宋_GB2312" w:cs="仿宋"/>
          <w:sz w:val="28"/>
          <w:szCs w:val="28"/>
        </w:rPr>
        <w:t xml:space="preserve">（一）社会渠道入网仅限用户通过本人二代证办理,其他非二代证证件均不可在社会渠道办理入网。 </w:t>
      </w:r>
    </w:p>
    <w:p w14:paraId="52377F10">
      <w:pPr>
        <w:pStyle w:val="14"/>
        <w:widowControl/>
        <w:adjustRightInd w:val="0"/>
        <w:snapToGrid w:val="0"/>
        <w:spacing w:beforeAutospacing="0" w:afterAutospacing="0" w:line="360" w:lineRule="auto"/>
        <w:ind w:firstLine="562"/>
        <w:rPr>
          <w:rFonts w:ascii="仿宋_GB2312" w:hAnsi="仿宋" w:eastAsia="仿宋_GB2312" w:cs="仿宋"/>
          <w:sz w:val="28"/>
          <w:szCs w:val="28"/>
        </w:rPr>
      </w:pPr>
      <w:r>
        <w:rPr>
          <w:rFonts w:hint="eastAsia" w:ascii="仿宋_GB2312" w:hAnsi="仿宋" w:eastAsia="仿宋_GB2312" w:cs="仿宋"/>
          <w:sz w:val="28"/>
          <w:szCs w:val="28"/>
        </w:rPr>
        <w:t>（二）渠道须对用户及其提供的证件进行人证一致性查验，必须进行“拍照留存”，并如实登记信息。严禁不查验销售号卡，严禁一证超五号登记，严禁不通过实名制技术手段办理入网手续。</w:t>
      </w:r>
    </w:p>
    <w:p w14:paraId="15460D49">
      <w:pPr>
        <w:pStyle w:val="14"/>
        <w:widowControl/>
        <w:adjustRightInd w:val="0"/>
        <w:snapToGrid w:val="0"/>
        <w:spacing w:beforeAutospacing="0" w:afterAutospacing="0" w:line="360" w:lineRule="auto"/>
        <w:ind w:firstLine="562"/>
        <w:rPr>
          <w:rFonts w:ascii="仿宋_GB2312" w:hAnsi="仿宋" w:eastAsia="仿宋_GB2312" w:cs="仿宋"/>
          <w:sz w:val="28"/>
          <w:szCs w:val="28"/>
        </w:rPr>
      </w:pPr>
      <w:r>
        <w:rPr>
          <w:rFonts w:hint="eastAsia" w:ascii="仿宋_GB2312" w:hAnsi="仿宋" w:eastAsia="仿宋_GB2312" w:cs="仿宋"/>
          <w:sz w:val="28"/>
          <w:szCs w:val="28"/>
        </w:rPr>
        <w:t>（三）严禁社会渠道发展下级代理，落实社会渠道工号实名制。对违反实名制登记相关规定的渠道商，一经发现立即取消其合作资格，扣罚保证金，纳入省（区、市）渠道商黑名单。</w:t>
      </w:r>
    </w:p>
    <w:p w14:paraId="5795198E">
      <w:pPr>
        <w:pStyle w:val="14"/>
        <w:widowControl/>
        <w:numPr>
          <w:ilvl w:val="0"/>
          <w:numId w:val="3"/>
        </w:numPr>
        <w:adjustRightInd w:val="0"/>
        <w:snapToGrid w:val="0"/>
        <w:spacing w:beforeAutospacing="0" w:afterAutospacing="0" w:line="360" w:lineRule="auto"/>
        <w:rPr>
          <w:rFonts w:ascii="仿宋_GB2312" w:hAnsi="仿宋" w:eastAsia="仿宋_GB2312" w:cs="仿宋"/>
          <w:sz w:val="28"/>
          <w:szCs w:val="28"/>
        </w:rPr>
      </w:pPr>
      <w:r>
        <w:rPr>
          <w:rFonts w:hint="eastAsia" w:ascii="仿宋_GB2312" w:hAnsi="仿宋" w:eastAsia="仿宋_GB2312" w:cs="仿宋"/>
          <w:sz w:val="28"/>
          <w:szCs w:val="28"/>
        </w:rPr>
        <w:t>应通过CRM或集中运营系统对渠道基础信息（应包括渠道商名称、地址、银行账号信息等）进行统一管理，并通过有效的管控手段，确保渠道基础信息的收集、整理、维护的及时性和准确性。</w:t>
      </w:r>
    </w:p>
    <w:p w14:paraId="33AA2763">
      <w:pPr>
        <w:pStyle w:val="14"/>
        <w:widowControl/>
        <w:numPr>
          <w:ilvl w:val="0"/>
          <w:numId w:val="3"/>
        </w:numPr>
        <w:adjustRightInd w:val="0"/>
        <w:snapToGrid w:val="0"/>
        <w:spacing w:beforeAutospacing="0" w:afterAutospacing="0" w:line="360" w:lineRule="auto"/>
        <w:rPr>
          <w:rFonts w:ascii="仿宋_GB2312" w:hAnsi="仿宋" w:eastAsia="仿宋_GB2312" w:cs="仿宋"/>
          <w:sz w:val="28"/>
          <w:szCs w:val="28"/>
        </w:rPr>
      </w:pPr>
      <w:r>
        <w:rPr>
          <w:rFonts w:hint="eastAsia" w:ascii="仿宋_GB2312" w:hAnsi="仿宋" w:eastAsia="仿宋_GB2312" w:cs="仿宋"/>
          <w:sz w:val="28"/>
          <w:szCs w:val="28"/>
        </w:rPr>
        <w:t>所有社会渠道须签订合作协议，协议文本优先使用总部下发的模板，并根据业务发展情况，及时更新协议模板。</w:t>
      </w:r>
    </w:p>
    <w:p w14:paraId="25B9F74C">
      <w:pPr>
        <w:adjustRightInd w:val="0"/>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（一）协议内容须包含合同主体相关信息、双方权利义务、酬金结算、业绩考核规则、违规处罚规则、客户资料保护要求和廉洁诚信要求等信息。</w:t>
      </w:r>
    </w:p>
    <w:p w14:paraId="4F3DF152">
      <w:pPr>
        <w:adjustRightInd w:val="0"/>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（二）协议未生效之前不允许开展业务合作，如需续约合作的，应在协议到期之前完成续约，避免出现空档期和合同补签情况。</w:t>
      </w:r>
    </w:p>
    <w:p w14:paraId="00D19C9A">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应建立完善、安全的资金归集制度和流程。</w:t>
      </w:r>
    </w:p>
    <w:p w14:paraId="0CE024FF">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（一）渠道商营业资金电子化管理可分为渠道商预存、系统实时扣款及系统批扣三种方式，具体由各省依据生产需要确定：</w:t>
      </w:r>
    </w:p>
    <w:p w14:paraId="6E58F11E">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渠道商预存方式是指渠道商在业务受理前，预先将营业资金预存至至中国移动指定账户，受理业务时，系统自动扣减额度，余额不足或低于预先设定阀值时，暂停业务办理。渠道商预存资金在存入时不享受任何折扣或其他优惠。</w:t>
      </w:r>
    </w:p>
    <w:p w14:paraId="161CD143">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2.系统实时扣款方式是指当渠道商受理业务时，同步从其绑定的银行账户中进行营业资金划转的操作，扣款失败应暂停业务办理。</w:t>
      </w:r>
    </w:p>
    <w:p w14:paraId="0A3F4EE1">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3.系统批扣方式是指中国移动每日根据营业日报，将渠道商当日营收款由支付机构或金融机构同步从其绑定的账户中进行划转的操作。结算周期原则上不得超过 “T+1”日(“T”为渠道商交易日 ，即在第二日将前一日的营业款项结算给省（区、市）公司账户）</w:t>
      </w:r>
    </w:p>
    <w:p w14:paraId="2E3378CF">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（二）原则上不提供业务受理后人工汇缴营业款，不应通过营业厅前台代为收缴渠道商营业款。</w:t>
      </w:r>
    </w:p>
    <w:p w14:paraId="1A821996">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kern w:val="0"/>
          <w:sz w:val="28"/>
          <w:szCs w:val="28"/>
        </w:rPr>
        <w:t xml:space="preserve"> 社会渠道网点应按照中国移动统一的标准体系加载VI形象。各省（区、市）公司应明确相应VI管理要求，并将渠道网点的宣传点位纳入整体VI管理范畴。社会渠道VI可由中国移动协助制作，或由渠道商自行制作。由中国移动投入建设VI的，应设置最短合作时限要求及不满足条件情况下的处罚措施</w:t>
      </w:r>
      <w:r>
        <w:rPr>
          <w:rFonts w:hint="eastAsia" w:ascii="仿宋_GB2312" w:eastAsia="仿宋_GB2312"/>
          <w:sz w:val="28"/>
          <w:szCs w:val="28"/>
        </w:rPr>
        <w:t>。</w:t>
      </w:r>
    </w:p>
    <w:p w14:paraId="5BFA71E0">
      <w:pPr>
        <w:pStyle w:val="39"/>
        <w:widowControl/>
        <w:numPr>
          <w:ilvl w:val="0"/>
          <w:numId w:val="3"/>
        </w:numPr>
        <w:adjustRightInd w:val="0"/>
        <w:snapToGrid w:val="0"/>
        <w:spacing w:line="360" w:lineRule="auto"/>
        <w:ind w:firstLineChars="0"/>
        <w:jc w:val="left"/>
        <w:rPr>
          <w:rFonts w:ascii="宋体" w:hAnsi="宋体" w:cs="宋体"/>
          <w:kern w:val="0"/>
          <w:sz w:val="24"/>
        </w:rPr>
      </w:pPr>
      <w:r>
        <w:rPr>
          <w:rFonts w:hint="eastAsia" w:ascii="仿宋_GB2312" w:eastAsia="仿宋_GB2312"/>
          <w:sz w:val="28"/>
          <w:szCs w:val="28"/>
        </w:rPr>
        <w:t>各省（区、市）公司应强化对社会渠道的激励和掌控，提升促销人员对我司产品及业务的首推水平。</w:t>
      </w:r>
    </w:p>
    <w:p w14:paraId="4A2346BA">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设置社会渠道服务热线，配备服务支撑专席，集中受理社会渠道的费用查询、业务咨询、投诉等服务需求。</w:t>
      </w:r>
    </w:p>
    <w:p w14:paraId="4AA7318F">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不定期组织社会渠道及其营业人员参与的销售培训，人员培训的内容包括但不限于销售话术、营销政策、系统操作等。应不断丰富培训手段，利用微信、直播等互联网方式提升对社会渠道商培训的效果。</w:t>
      </w:r>
    </w:p>
    <w:p w14:paraId="1190B90D">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制定科学的号码资源配置规则,对空白卡实施基于号码资源共享池的号码资源动态管理；对实体卡（套卡）卡号应做到公正、公开的分配，可依据网点级别、库存、销售能力等确定卡号资源的需求量，并根据销售情况进行动态调整，各级卡号管理人员不得擅自截留、倒卖或者实施显失公平的号码分配。对于吉祥号码资源，可按号码档次设定不同的合约，在相应的销售渠道进行明示，由客户自由选择，并签订相应的客户入网协议，严格禁止私下交易或暗箱操作等行为。</w:t>
      </w:r>
    </w:p>
    <w:p w14:paraId="55246E25">
      <w:pPr>
        <w:numPr>
          <w:ilvl w:val="0"/>
          <w:numId w:val="3"/>
        </w:numPr>
        <w:adjustRightInd w:val="0"/>
        <w:snapToGrid w:val="0"/>
        <w:spacing w:line="360" w:lineRule="auto"/>
        <w:rPr>
          <w:rFonts w:ascii="仿宋_GB2312" w:eastAsia="仿宋_GB2312"/>
          <w:sz w:val="28"/>
          <w:szCs w:val="28"/>
        </w:rPr>
      </w:pPr>
      <w:r>
        <w:rPr>
          <w:rFonts w:hint="eastAsia" w:ascii="仿宋_GB2312" w:eastAsia="仿宋_GB2312"/>
          <w:sz w:val="28"/>
          <w:szCs w:val="28"/>
        </w:rPr>
        <w:t>建立严格的业务稽核制度，将社会渠道业务稽核纳入集中化稽核体系管理，对于社会渠道办理的重要、敏感、高危业务应进行全量稽核，杜绝虚假业务办理，减少业务差错。</w:t>
      </w:r>
    </w:p>
    <w:p w14:paraId="78FCF43D">
      <w:pPr>
        <w:adjustRightInd w:val="0"/>
        <w:snapToGrid w:val="0"/>
        <w:spacing w:line="360" w:lineRule="auto"/>
        <w:rPr>
          <w:rFonts w:ascii="仿宋_GB2312" w:eastAsia="仿宋_GB2312"/>
          <w:szCs w:val="21"/>
        </w:rPr>
      </w:pPr>
    </w:p>
    <w:p w14:paraId="6B988EB6">
      <w:pPr>
        <w:pStyle w:val="2"/>
        <w:numPr>
          <w:ilvl w:val="0"/>
          <w:numId w:val="0"/>
        </w:numPr>
        <w:adjustRightInd w:val="0"/>
        <w:snapToGrid w:val="0"/>
        <w:spacing w:before="0" w:after="0" w:line="360" w:lineRule="auto"/>
        <w:ind w:firstLine="2366" w:firstLineChars="845"/>
        <w:jc w:val="both"/>
        <w:rPr>
          <w:rFonts w:ascii="黑体" w:hAnsi="黑体" w:eastAsia="黑体"/>
          <w:b w:val="0"/>
          <w:sz w:val="28"/>
          <w:szCs w:val="28"/>
        </w:rPr>
      </w:pPr>
      <w:bookmarkStart w:id="28" w:name="_Toc353109763"/>
      <w:bookmarkStart w:id="29" w:name="_Toc351739649"/>
      <w:bookmarkStart w:id="30" w:name="_Toc351739602"/>
      <w:bookmarkStart w:id="31" w:name="_Toc351739777"/>
      <w:bookmarkStart w:id="32" w:name="_Toc423095499"/>
      <w:bookmarkStart w:id="33" w:name="_Toc501109570"/>
      <w:r>
        <w:rPr>
          <w:rFonts w:hint="eastAsia" w:ascii="黑体" w:hAnsi="黑体" w:eastAsia="黑体"/>
          <w:b w:val="0"/>
          <w:sz w:val="28"/>
          <w:szCs w:val="28"/>
        </w:rPr>
        <w:t xml:space="preserve">第六章  </w:t>
      </w:r>
      <w:bookmarkEnd w:id="28"/>
      <w:bookmarkEnd w:id="29"/>
      <w:bookmarkEnd w:id="30"/>
      <w:bookmarkEnd w:id="31"/>
      <w:bookmarkEnd w:id="32"/>
      <w:r>
        <w:rPr>
          <w:rFonts w:hint="eastAsia" w:ascii="黑体" w:hAnsi="黑体" w:eastAsia="黑体"/>
          <w:b w:val="0"/>
          <w:sz w:val="28"/>
          <w:szCs w:val="28"/>
        </w:rPr>
        <w:t>监控和违规管理</w:t>
      </w:r>
      <w:bookmarkEnd w:id="33"/>
    </w:p>
    <w:p w14:paraId="24843C1F">
      <w:pPr>
        <w:pStyle w:val="3"/>
        <w:adjustRightInd w:val="0"/>
        <w:snapToGrid w:val="0"/>
        <w:spacing w:before="0" w:after="0" w:line="360" w:lineRule="auto"/>
        <w:rPr>
          <w:rFonts w:ascii="楷体_GB2312" w:eastAsia="楷体_GB2312" w:hAnsiTheme="minorEastAsia"/>
          <w:b w:val="0"/>
          <w:szCs w:val="28"/>
        </w:rPr>
      </w:pPr>
      <w:bookmarkStart w:id="34" w:name="_Toc353109764"/>
      <w:bookmarkStart w:id="35" w:name="_Toc423095500"/>
      <w:bookmarkStart w:id="36" w:name="_Toc501109571"/>
      <w:r>
        <w:rPr>
          <w:rFonts w:hint="eastAsia" w:ascii="楷体_GB2312" w:eastAsia="楷体_GB2312" w:hAnsiTheme="minorEastAsia"/>
          <w:b w:val="0"/>
          <w:szCs w:val="28"/>
        </w:rPr>
        <w:t xml:space="preserve">第一节 </w:t>
      </w:r>
      <w:bookmarkEnd w:id="34"/>
      <w:r>
        <w:rPr>
          <w:rFonts w:hint="eastAsia" w:ascii="楷体_GB2312" w:eastAsia="楷体_GB2312" w:hAnsiTheme="minorEastAsia"/>
          <w:b w:val="0"/>
          <w:szCs w:val="28"/>
        </w:rPr>
        <w:t>分类及定义</w:t>
      </w:r>
      <w:bookmarkEnd w:id="35"/>
      <w:bookmarkEnd w:id="36"/>
    </w:p>
    <w:p w14:paraId="6D1BB374">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社会渠道违规行为分为A类违规行为和B类违规行为两类：</w:t>
      </w:r>
    </w:p>
    <w:p w14:paraId="7B59F9F0">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（一）A类违规行为指重点治理的违规行为，主要包括性质较为恶劣、严重损害客户权益和公司利益的行为。各省（区、市）公司均应将发生A类违规行为列为重点治理对象。具体如下：</w:t>
      </w:r>
    </w:p>
    <w:p w14:paraId="4C364894">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1.养卡套利，是指渠道商人为改变号卡的状态属性、制造虚假用户，以达到套取社会渠道费用、补贴、优质号码、达量奖励，或完成KPI指标逃避考核等不良目的行为；</w:t>
      </w:r>
    </w:p>
    <w:p w14:paraId="76BB60C2">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2.擅自为客户订购业务或修改业务规则，泄露客户信息，倒卖客户号码；</w:t>
      </w:r>
    </w:p>
    <w:p w14:paraId="04A66B4B">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3.虚假承诺和宣传，不按规定价格标准办理业务或销售移动产品，破坏市场经营秩序；</w:t>
      </w:r>
    </w:p>
    <w:p w14:paraId="17140880">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4.利用虚假IMEI开展虚假通信行为进行拆包套机甩卖；</w:t>
      </w:r>
    </w:p>
    <w:p w14:paraId="62065B08">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5.利用业务漏洞恶意套取非法收益；</w:t>
      </w:r>
    </w:p>
    <w:p w14:paraId="23D1AFEB">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6.未落实名制各项要求的违规行为；</w:t>
      </w:r>
    </w:p>
    <w:p w14:paraId="14CCEFE5">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7.其他侵害客户权益、公司利益的经营行为。</w:t>
      </w:r>
    </w:p>
    <w:p w14:paraId="17040C76">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（二）B类违规行为指上述A类违规行为之外、各省（区、市）公司根据实际情况提出的其它禁止性要求，在渠道合作协议中约定的违约行为，其内容由各省自行制定。</w:t>
      </w:r>
    </w:p>
    <w:p w14:paraId="6BEE6FCC">
      <w:pPr>
        <w:pStyle w:val="3"/>
        <w:adjustRightInd w:val="0"/>
        <w:snapToGrid w:val="0"/>
        <w:spacing w:before="0" w:after="0" w:line="360" w:lineRule="auto"/>
        <w:rPr>
          <w:rFonts w:ascii="楷体_GB2312" w:eastAsia="楷体_GB2312"/>
          <w:b w:val="0"/>
        </w:rPr>
      </w:pPr>
      <w:bookmarkStart w:id="37" w:name="_Toc501109572"/>
      <w:bookmarkStart w:id="38" w:name="_Toc353109766"/>
      <w:bookmarkStart w:id="39" w:name="_Toc423095501"/>
      <w:r>
        <w:rPr>
          <w:rFonts w:hint="eastAsia" w:ascii="楷体_GB2312" w:eastAsia="楷体_GB2312"/>
          <w:b w:val="0"/>
        </w:rPr>
        <w:t>第二节  监控和管理要求</w:t>
      </w:r>
      <w:bookmarkEnd w:id="37"/>
    </w:p>
    <w:p w14:paraId="6181CBD5">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各省（区、市）公司应建立渠道违规预警和监控机制。根据渠道业务特点及发展客户的通话、消费等行为，分析和甄别渠道的违规行为，进而做进一步的查证，以确认渠道违规事实。</w:t>
      </w:r>
    </w:p>
    <w:p w14:paraId="1D32E1A5">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社会渠道违规预警和监控系统应重点针对批卡、养卡、终端套利、违反实名制规定和恶意套取收益等行为进行监控，并依据客户发展质量指标建立分析模型，设定合理的监控阈值，输出预警结果。</w:t>
      </w:r>
    </w:p>
    <w:p w14:paraId="0774A609">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行业监管机构、新闻媒体、以及中国移动各级机构通过明察暗访、第三方巡检、系统监控、接收投诉举报等方式发现渠道违规行为，省（区、市）公司确认违规事实后，可作为判定渠道违规及处罚渠道的依据。</w:t>
      </w:r>
    </w:p>
    <w:p w14:paraId="391E6C7F">
      <w:pPr>
        <w:pStyle w:val="39"/>
        <w:numPr>
          <w:ilvl w:val="0"/>
          <w:numId w:val="3"/>
        </w:numPr>
        <w:adjustRightInd w:val="0"/>
        <w:snapToGrid w:val="0"/>
        <w:spacing w:line="360" w:lineRule="auto"/>
        <w:ind w:left="-2" w:leftChars="-1" w:firstLineChars="0"/>
        <w:rPr>
          <w:rFonts w:ascii="仿宋_GB2312" w:eastAsia="仿宋_GB2312"/>
          <w:sz w:val="28"/>
          <w:szCs w:val="28"/>
        </w:rPr>
      </w:pPr>
      <w:r>
        <w:rPr>
          <w:rFonts w:hint="eastAsia" w:ascii="仿宋_GB2312" w:eastAsia="仿宋_GB2312"/>
          <w:sz w:val="28"/>
          <w:szCs w:val="28"/>
        </w:rPr>
        <w:t>对于责令退出的渠道，应纳入渠道黑名单，在一年内不予再次合作；对于违规程度特别严重的，可延长纳入黑名单的时长。</w:t>
      </w:r>
    </w:p>
    <w:p w14:paraId="08A40756">
      <w:pPr>
        <w:pStyle w:val="39"/>
        <w:numPr>
          <w:ilvl w:val="0"/>
          <w:numId w:val="3"/>
        </w:numPr>
        <w:adjustRightInd w:val="0"/>
        <w:snapToGrid w:val="0"/>
        <w:spacing w:line="360" w:lineRule="auto"/>
        <w:ind w:left="-2" w:leftChars="-1" w:firstLineChars="0"/>
        <w:rPr>
          <w:rFonts w:ascii="仿宋_GB2312" w:eastAsia="仿宋_GB2312"/>
          <w:sz w:val="28"/>
          <w:szCs w:val="28"/>
        </w:rPr>
      </w:pPr>
      <w:r>
        <w:rPr>
          <w:rFonts w:hint="eastAsia" w:ascii="仿宋_GB2312" w:eastAsia="仿宋_GB2312"/>
          <w:sz w:val="28"/>
          <w:szCs w:val="28"/>
        </w:rPr>
        <w:t>监管渠道违规的部门要及时向违规单位或下级公司进行违规处理通报和公示。对于社会渠道商的处罚结果应及时录入到渠道信息系统中。</w:t>
      </w:r>
    </w:p>
    <w:p w14:paraId="0147CF18">
      <w:pPr>
        <w:pStyle w:val="3"/>
        <w:adjustRightInd w:val="0"/>
        <w:snapToGrid w:val="0"/>
        <w:spacing w:before="0" w:after="0" w:line="360" w:lineRule="auto"/>
        <w:rPr>
          <w:rFonts w:ascii="楷体_GB2312" w:eastAsia="楷体_GB2312"/>
          <w:b w:val="0"/>
        </w:rPr>
      </w:pPr>
      <w:bookmarkStart w:id="40" w:name="_Toc351739651"/>
      <w:bookmarkStart w:id="41" w:name="_Toc310930309"/>
      <w:bookmarkStart w:id="42" w:name="_Toc423095503"/>
      <w:bookmarkStart w:id="43" w:name="_Toc351739779"/>
      <w:bookmarkStart w:id="44" w:name="_Toc353109765"/>
      <w:bookmarkStart w:id="45" w:name="_Toc351739604"/>
      <w:bookmarkStart w:id="46" w:name="_Toc501109573"/>
      <w:r>
        <w:rPr>
          <w:rFonts w:hint="eastAsia" w:ascii="楷体_GB2312" w:eastAsia="楷体_GB2312"/>
          <w:b w:val="0"/>
        </w:rPr>
        <w:t>第三节</w:t>
      </w:r>
      <w:bookmarkEnd w:id="40"/>
      <w:bookmarkEnd w:id="41"/>
      <w:bookmarkEnd w:id="42"/>
      <w:bookmarkEnd w:id="43"/>
      <w:bookmarkEnd w:id="44"/>
      <w:bookmarkEnd w:id="45"/>
      <w:r>
        <w:rPr>
          <w:rFonts w:hint="eastAsia" w:ascii="楷体_GB2312" w:eastAsia="楷体_GB2312"/>
          <w:b w:val="0"/>
        </w:rPr>
        <w:t xml:space="preserve"> 违规行为罚则</w:t>
      </w:r>
      <w:bookmarkEnd w:id="38"/>
      <w:bookmarkEnd w:id="39"/>
      <w:bookmarkEnd w:id="46"/>
    </w:p>
    <w:p w14:paraId="312FFD4D">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根据渠道违规的性质与造成的后果划分违规等级，建立包括警告降级、暂停合作、强制退出等手段的违规处理机制；违规处理措施应由省（区、市）公司或地市分公司做出。在对渠道实施上述违规处理的同时，还应根据违规行为对公司造成的经济损失与负面影响，对各类违规行为采取包括扣罚渠道费用、渠道保证金等并罚措施。应在与渠道商的合作协议中明确违规处罚的相关罚则。</w:t>
      </w:r>
    </w:p>
    <w:p w14:paraId="6A066DBF">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违规警告降级处理。对于协议期内违规性质较轻，且未被客户投诉、未被媒体曝光、未造成负面社会影响，给公司造成较小经济损失的渠道，给予书面警告和降级处分。由渠道管理部门责令渠道整改并提交书面整改书，保证不再发生违规行为，同时进行相应的经济处罚。</w:t>
      </w:r>
    </w:p>
    <w:p w14:paraId="071509E1">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违规暂停合作处理。对于协议期内违规性质严重的，多次警告或已被降级处理的渠道，仍未有效改进的，应暂停合作。各省（区、市）公司可根据其后续整改情况，再行决定是否恢复合作。暂停合作期间应关闭工号，暂停号卡、有价卡、终端等资源的供货。同时应责令渠道制定合作整改计划，提交书面整改书。整顿结束后，验收通过后可恢复业务权限。</w:t>
      </w:r>
    </w:p>
    <w:p w14:paraId="12CA23D6">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违规强制退出处理。发生下列行为的渠道，应强制退出：</w:t>
      </w:r>
    </w:p>
    <w:p w14:paraId="6F5D337A">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（一）违规性质恶劣，造成重要媒体曝光，或造成恶劣的社会影响的。</w:t>
      </w:r>
    </w:p>
    <w:p w14:paraId="38964E2E">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（二）已暂停合作，通过整改仍不达标的。</w:t>
      </w:r>
    </w:p>
    <w:p w14:paraId="5BA18715">
      <w:pPr>
        <w:pStyle w:val="39"/>
        <w:adjustRightInd w:val="0"/>
        <w:snapToGrid w:val="0"/>
        <w:spacing w:line="360" w:lineRule="auto"/>
        <w:ind w:firstLine="565" w:firstLineChars="202"/>
        <w:rPr>
          <w:rFonts w:ascii="仿宋_GB2312" w:eastAsia="仿宋_GB2312"/>
          <w:sz w:val="28"/>
          <w:szCs w:val="28"/>
        </w:rPr>
      </w:pPr>
      <w:r>
        <w:rPr>
          <w:rFonts w:hint="eastAsia" w:ascii="仿宋_GB2312" w:eastAsia="仿宋_GB2312"/>
          <w:sz w:val="28"/>
          <w:szCs w:val="28"/>
        </w:rPr>
        <w:t>（三）发生合作协议中约定的其他可进行退出处理行为的。</w:t>
      </w:r>
    </w:p>
    <w:p w14:paraId="2722F6ED">
      <w:pPr>
        <w:pStyle w:val="39"/>
        <w:adjustRightInd w:val="0"/>
        <w:snapToGrid w:val="0"/>
        <w:spacing w:line="360" w:lineRule="auto"/>
        <w:ind w:firstLine="424" w:firstLineChars="202"/>
        <w:rPr>
          <w:rFonts w:ascii="仿宋_GB2312" w:eastAsia="仿宋_GB2312"/>
          <w:szCs w:val="21"/>
        </w:rPr>
      </w:pPr>
    </w:p>
    <w:p w14:paraId="36B8944D">
      <w:pPr>
        <w:pStyle w:val="2"/>
        <w:numPr>
          <w:ilvl w:val="0"/>
          <w:numId w:val="0"/>
        </w:numPr>
        <w:adjustRightInd w:val="0"/>
        <w:snapToGrid w:val="0"/>
        <w:spacing w:before="0" w:after="0" w:line="360" w:lineRule="auto"/>
        <w:ind w:firstLine="2704" w:firstLineChars="845"/>
        <w:jc w:val="both"/>
        <w:rPr>
          <w:rFonts w:ascii="黑体" w:hAnsi="黑体" w:eastAsia="黑体"/>
          <w:b w:val="0"/>
        </w:rPr>
      </w:pPr>
      <w:bookmarkStart w:id="47" w:name="_Toc501109574"/>
      <w:r>
        <w:rPr>
          <w:rFonts w:hint="eastAsia" w:ascii="黑体" w:hAnsi="黑体" w:eastAsia="黑体"/>
          <w:b w:val="0"/>
        </w:rPr>
        <w:t>第七章  罚则</w:t>
      </w:r>
      <w:bookmarkEnd w:id="47"/>
    </w:p>
    <w:p w14:paraId="3460EAB4"/>
    <w:p w14:paraId="0F1544BD">
      <w:pPr>
        <w:pStyle w:val="39"/>
        <w:numPr>
          <w:ilvl w:val="0"/>
          <w:numId w:val="3"/>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相关工作人员在渠道管理中，如存在违规操作、与渠道商串通、谋求不正当利益，或存在其他违反廉洁从业要求行为的，经查实，应按照管理权限，根据《中国移动通信集团公司员工违规违纪处分条例》等相关规定对其进行处理。</w:t>
      </w:r>
    </w:p>
    <w:p w14:paraId="2847575D">
      <w:pPr>
        <w:pStyle w:val="39"/>
        <w:adjustRightInd w:val="0"/>
        <w:snapToGrid w:val="0"/>
        <w:spacing w:line="360" w:lineRule="auto"/>
        <w:ind w:firstLine="0" w:firstLineChars="0"/>
        <w:rPr>
          <w:rFonts w:ascii="仿宋_GB2312" w:eastAsia="仿宋_GB2312"/>
          <w:szCs w:val="21"/>
        </w:rPr>
      </w:pPr>
    </w:p>
    <w:p w14:paraId="20CC4DD7">
      <w:pPr>
        <w:pStyle w:val="2"/>
        <w:numPr>
          <w:ilvl w:val="0"/>
          <w:numId w:val="0"/>
        </w:numPr>
        <w:adjustRightInd w:val="0"/>
        <w:snapToGrid w:val="0"/>
        <w:spacing w:before="0" w:after="0" w:line="360" w:lineRule="auto"/>
        <w:ind w:firstLine="2704" w:firstLineChars="845"/>
        <w:jc w:val="both"/>
        <w:rPr>
          <w:rFonts w:ascii="黑体" w:hAnsi="黑体" w:eastAsia="黑体"/>
          <w:b w:val="0"/>
        </w:rPr>
      </w:pPr>
      <w:bookmarkStart w:id="48" w:name="_Toc501109575"/>
      <w:r>
        <w:rPr>
          <w:rFonts w:hint="eastAsia" w:ascii="黑体" w:hAnsi="黑体" w:eastAsia="黑体"/>
          <w:b w:val="0"/>
        </w:rPr>
        <w:t>第八章  附则</w:t>
      </w:r>
      <w:bookmarkEnd w:id="48"/>
    </w:p>
    <w:p w14:paraId="50622E31"/>
    <w:p w14:paraId="76DA1E4B">
      <w:pPr>
        <w:pStyle w:val="39"/>
        <w:numPr>
          <w:ilvl w:val="0"/>
          <w:numId w:val="3"/>
        </w:numPr>
        <w:adjustRightInd w:val="0"/>
        <w:snapToGrid w:val="0"/>
        <w:spacing w:line="360" w:lineRule="auto"/>
        <w:ind w:firstLineChars="0"/>
      </w:pPr>
      <w:r>
        <w:rPr>
          <w:rFonts w:hint="eastAsia" w:ascii="仿宋_GB2312" w:eastAsia="仿宋_GB2312"/>
          <w:sz w:val="28"/>
          <w:szCs w:val="28"/>
        </w:rPr>
        <w:t>各省（区、市）公司可按照本管理办法，结合本地实际市场情况，制定细化的社会渠道管理办法。</w:t>
      </w:r>
    </w:p>
    <w:p w14:paraId="5B21929B">
      <w:pPr>
        <w:pStyle w:val="39"/>
        <w:numPr>
          <w:ilvl w:val="0"/>
          <w:numId w:val="3"/>
        </w:numPr>
        <w:adjustRightInd w:val="0"/>
        <w:snapToGrid w:val="0"/>
        <w:spacing w:line="360" w:lineRule="auto"/>
        <w:ind w:firstLineChars="0"/>
      </w:pPr>
      <w:r>
        <w:rPr>
          <w:rFonts w:hint="eastAsia" w:ascii="仿宋_GB2312" w:eastAsia="仿宋_GB2312"/>
          <w:sz w:val="28"/>
          <w:szCs w:val="28"/>
        </w:rPr>
        <w:t>本办法由总部市场经营部负责解释，自2018年2月1日起执行，《中国移动社会渠道管理办法（2015版）》（市通〔2015〕113号）届时废止。</w:t>
      </w:r>
    </w:p>
    <w:p w14:paraId="486C43FA">
      <w:pPr>
        <w:pStyle w:val="39"/>
        <w:adjustRightInd w:val="0"/>
        <w:snapToGrid w:val="0"/>
        <w:spacing w:line="360" w:lineRule="auto"/>
        <w:ind w:firstLine="555" w:firstLineChars="0"/>
        <w:rPr>
          <w:rFonts w:ascii="仿宋_GB2312" w:eastAsia="仿宋_GB2312"/>
          <w:sz w:val="28"/>
          <w:szCs w:val="28"/>
        </w:rPr>
      </w:pPr>
      <w:r>
        <w:rPr>
          <w:rFonts w:hint="eastAsia" w:ascii="仿宋_GB2312" w:eastAsia="仿宋_GB2312"/>
          <w:sz w:val="28"/>
          <w:szCs w:val="28"/>
        </w:rPr>
        <w:t>附件：1.</w:t>
      </w:r>
      <w:r>
        <w:rPr>
          <w:rFonts w:hint="eastAsia"/>
        </w:rPr>
        <w:t xml:space="preserve"> </w:t>
      </w:r>
      <w:r>
        <w:rPr>
          <w:rFonts w:hint="eastAsia" w:ascii="仿宋_GB2312" w:eastAsia="仿宋_GB2312"/>
          <w:sz w:val="28"/>
          <w:szCs w:val="28"/>
        </w:rPr>
        <w:t>中国移动社会渠道体系架构</w:t>
      </w:r>
    </w:p>
    <w:p w14:paraId="51FBCAB0">
      <w:pPr>
        <w:pStyle w:val="39"/>
        <w:adjustRightInd w:val="0"/>
        <w:snapToGrid w:val="0"/>
        <w:spacing w:line="360" w:lineRule="auto"/>
        <w:ind w:firstLine="555" w:firstLineChars="0"/>
      </w:pPr>
      <w:r>
        <w:rPr>
          <w:rFonts w:hint="eastAsia" w:ascii="仿宋_GB2312" w:eastAsia="仿宋_GB2312"/>
          <w:sz w:val="28"/>
          <w:szCs w:val="28"/>
        </w:rPr>
        <w:t xml:space="preserve">      2.</w:t>
      </w:r>
      <w:r>
        <w:rPr>
          <w:rFonts w:hint="eastAsia"/>
        </w:rPr>
        <w:t xml:space="preserve"> </w:t>
      </w:r>
      <w:r>
        <w:rPr>
          <w:rFonts w:hint="eastAsia" w:ascii="仿宋_GB2312" w:eastAsia="仿宋_GB2312"/>
          <w:sz w:val="28"/>
          <w:szCs w:val="28"/>
        </w:rPr>
        <w:t>社会渠道引入资质标准</w:t>
      </w:r>
    </w:p>
    <w:p w14:paraId="0566D035">
      <w:pPr>
        <w:widowControl/>
        <w:jc w:val="left"/>
        <w:rPr>
          <w:rFonts w:ascii="仿宋_GB2312" w:eastAsia="仿宋_GB2312"/>
          <w:b/>
          <w:sz w:val="28"/>
          <w:szCs w:val="28"/>
        </w:rPr>
      </w:pPr>
      <w:r>
        <w:rPr>
          <w:rFonts w:ascii="仿宋_GB2312" w:eastAsia="仿宋_GB2312"/>
          <w:b/>
          <w:sz w:val="28"/>
          <w:szCs w:val="28"/>
        </w:rPr>
        <w:br w:type="page"/>
      </w:r>
    </w:p>
    <w:p w14:paraId="71088052">
      <w:pPr>
        <w:adjustRightInd w:val="0"/>
        <w:snapToGrid w:val="0"/>
        <w:spacing w:line="360" w:lineRule="auto"/>
        <w:rPr>
          <w:rFonts w:ascii="黑体" w:hAnsi="黑体" w:eastAsia="黑体"/>
          <w:sz w:val="28"/>
          <w:szCs w:val="28"/>
        </w:rPr>
      </w:pPr>
      <w:r>
        <w:rPr>
          <w:rFonts w:hint="eastAsia" w:ascii="黑体" w:hAnsi="黑体" w:eastAsia="黑体"/>
          <w:sz w:val="28"/>
          <w:szCs w:val="28"/>
        </w:rPr>
        <w:t>附件1</w:t>
      </w:r>
    </w:p>
    <w:p w14:paraId="76058C5D">
      <w:pPr>
        <w:adjustRightInd w:val="0"/>
        <w:snapToGrid w:val="0"/>
        <w:spacing w:line="360" w:lineRule="auto"/>
        <w:rPr>
          <w:rFonts w:ascii="仿宋_GB2312" w:eastAsia="仿宋_GB2312"/>
          <w:sz w:val="28"/>
          <w:szCs w:val="28"/>
        </w:rPr>
      </w:pPr>
    </w:p>
    <w:p w14:paraId="6BA052B3">
      <w:pPr>
        <w:adjustRightInd w:val="0"/>
        <w:snapToGrid w:val="0"/>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中国移动社会渠道体系架构</w:t>
      </w:r>
    </w:p>
    <w:p w14:paraId="68FAE8E8">
      <w:pPr>
        <w:adjustRightInd w:val="0"/>
        <w:snapToGrid w:val="0"/>
        <w:spacing w:line="360" w:lineRule="auto"/>
      </w:pPr>
      <w:r>
        <w:object>
          <v:shape id="_x0000_i1025" o:spt="75" type="#_x0000_t75" style="height:328.75pt;width:404.1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14:paraId="5D08BECF">
      <w:pPr>
        <w:adjustRightInd w:val="0"/>
        <w:snapToGrid w:val="0"/>
        <w:spacing w:line="360" w:lineRule="auto"/>
      </w:pPr>
    </w:p>
    <w:p w14:paraId="5367C8B0">
      <w:pPr>
        <w:widowControl/>
        <w:jc w:val="left"/>
        <w:rPr>
          <w:rFonts w:ascii="仿宋_GB2312" w:eastAsia="仿宋_GB2312"/>
          <w:b/>
          <w:sz w:val="28"/>
          <w:szCs w:val="28"/>
        </w:rPr>
      </w:pPr>
      <w:r>
        <w:rPr>
          <w:rFonts w:ascii="仿宋_GB2312" w:eastAsia="仿宋_GB2312"/>
          <w:b/>
          <w:sz w:val="28"/>
          <w:szCs w:val="28"/>
        </w:rPr>
        <w:br w:type="page"/>
      </w:r>
    </w:p>
    <w:p w14:paraId="0B8084ED">
      <w:pPr>
        <w:adjustRightInd w:val="0"/>
        <w:snapToGrid w:val="0"/>
        <w:spacing w:line="360" w:lineRule="auto"/>
        <w:rPr>
          <w:rFonts w:ascii="黑体" w:hAnsi="黑体" w:eastAsia="黑体"/>
          <w:sz w:val="28"/>
          <w:szCs w:val="28"/>
        </w:rPr>
      </w:pPr>
      <w:r>
        <w:rPr>
          <w:rFonts w:hint="eastAsia" w:ascii="黑体" w:hAnsi="黑体" w:eastAsia="黑体"/>
          <w:sz w:val="28"/>
          <w:szCs w:val="28"/>
        </w:rPr>
        <w:t>附件1</w:t>
      </w:r>
    </w:p>
    <w:p w14:paraId="3B0B678C">
      <w:pPr>
        <w:adjustRightInd w:val="0"/>
        <w:snapToGrid w:val="0"/>
        <w:spacing w:line="360" w:lineRule="auto"/>
        <w:rPr>
          <w:rFonts w:ascii="仿宋_GB2312" w:eastAsia="仿宋_GB2312"/>
          <w:b/>
          <w:sz w:val="28"/>
          <w:szCs w:val="28"/>
        </w:rPr>
      </w:pPr>
    </w:p>
    <w:p w14:paraId="390F8400">
      <w:pPr>
        <w:adjustRightInd w:val="0"/>
        <w:snapToGrid w:val="0"/>
        <w:spacing w:line="360" w:lineRule="auto"/>
        <w:jc w:val="center"/>
        <w:rPr>
          <w:rFonts w:ascii="华文中宋" w:hAnsi="华文中宋" w:eastAsia="华文中宋"/>
          <w:sz w:val="28"/>
          <w:szCs w:val="28"/>
        </w:rPr>
      </w:pPr>
      <w:r>
        <w:rPr>
          <w:rFonts w:hint="eastAsia" w:ascii="华文中宋" w:hAnsi="华文中宋" w:eastAsia="华文中宋"/>
          <w:sz w:val="28"/>
          <w:szCs w:val="28"/>
        </w:rPr>
        <w:t>社会渠道引入资质标准</w:t>
      </w:r>
    </w:p>
    <w:tbl>
      <w:tblPr>
        <w:tblStyle w:val="18"/>
        <w:tblW w:w="10420" w:type="dxa"/>
        <w:jc w:val="center"/>
        <w:tblLayout w:type="autofit"/>
        <w:tblCellMar>
          <w:top w:w="0" w:type="dxa"/>
          <w:left w:w="108" w:type="dxa"/>
          <w:bottom w:w="0" w:type="dxa"/>
          <w:right w:w="108" w:type="dxa"/>
        </w:tblCellMar>
      </w:tblPr>
      <w:tblGrid>
        <w:gridCol w:w="1080"/>
        <w:gridCol w:w="1080"/>
        <w:gridCol w:w="1600"/>
        <w:gridCol w:w="6660"/>
      </w:tblGrid>
      <w:tr w14:paraId="6C9BADD8">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ED0B8A3">
            <w:pPr>
              <w:widowControl/>
              <w:adjustRightInd w:val="0"/>
              <w:snapToGrid w:val="0"/>
              <w:spacing w:line="360" w:lineRule="auto"/>
              <w:rPr>
                <w:rFonts w:ascii="仿宋_GB2312" w:hAnsi="宋体" w:eastAsia="仿宋_GB2312" w:cs="宋体"/>
                <w:b/>
                <w:bCs/>
                <w:kern w:val="0"/>
                <w:szCs w:val="21"/>
              </w:rPr>
            </w:pPr>
            <w:r>
              <w:rPr>
                <w:rFonts w:hint="eastAsia" w:ascii="仿宋_GB2312" w:hAnsi="宋体" w:eastAsia="仿宋_GB2312" w:cs="宋体"/>
                <w:b/>
                <w:bCs/>
                <w:kern w:val="0"/>
                <w:szCs w:val="21"/>
              </w:rPr>
              <w:t>单位类型</w:t>
            </w:r>
          </w:p>
        </w:tc>
        <w:tc>
          <w:tcPr>
            <w:tcW w:w="1080" w:type="dxa"/>
            <w:tcBorders>
              <w:top w:val="single" w:color="auto" w:sz="4" w:space="0"/>
              <w:left w:val="nil"/>
              <w:bottom w:val="single" w:color="auto" w:sz="4" w:space="0"/>
              <w:right w:val="single" w:color="auto" w:sz="4" w:space="0"/>
            </w:tcBorders>
            <w:shd w:val="clear" w:color="auto" w:fill="auto"/>
            <w:vAlign w:val="center"/>
          </w:tcPr>
          <w:p w14:paraId="329BF029">
            <w:pPr>
              <w:widowControl/>
              <w:adjustRightInd w:val="0"/>
              <w:snapToGrid w:val="0"/>
              <w:spacing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渠道类别</w:t>
            </w:r>
          </w:p>
        </w:tc>
        <w:tc>
          <w:tcPr>
            <w:tcW w:w="1600" w:type="dxa"/>
            <w:tcBorders>
              <w:top w:val="single" w:color="auto" w:sz="4" w:space="0"/>
              <w:left w:val="nil"/>
              <w:bottom w:val="single" w:color="auto" w:sz="4" w:space="0"/>
              <w:right w:val="single" w:color="auto" w:sz="4" w:space="0"/>
            </w:tcBorders>
            <w:shd w:val="clear" w:color="auto" w:fill="auto"/>
            <w:vAlign w:val="center"/>
          </w:tcPr>
          <w:p w14:paraId="497BB9EB">
            <w:pPr>
              <w:widowControl/>
              <w:adjustRightInd w:val="0"/>
              <w:snapToGrid w:val="0"/>
              <w:spacing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渠道类型</w:t>
            </w:r>
          </w:p>
        </w:tc>
        <w:tc>
          <w:tcPr>
            <w:tcW w:w="6660" w:type="dxa"/>
            <w:tcBorders>
              <w:top w:val="single" w:color="auto" w:sz="4" w:space="0"/>
              <w:left w:val="nil"/>
              <w:bottom w:val="single" w:color="auto" w:sz="4" w:space="0"/>
              <w:right w:val="single" w:color="auto" w:sz="4" w:space="0"/>
            </w:tcBorders>
            <w:shd w:val="clear" w:color="auto" w:fill="auto"/>
            <w:vAlign w:val="center"/>
          </w:tcPr>
          <w:p w14:paraId="14C658CA">
            <w:pPr>
              <w:widowControl/>
              <w:adjustRightInd w:val="0"/>
              <w:snapToGrid w:val="0"/>
              <w:spacing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基础资质</w:t>
            </w:r>
          </w:p>
        </w:tc>
      </w:tr>
      <w:tr w14:paraId="66EBFDF5">
        <w:tblPrEx>
          <w:tblCellMar>
            <w:top w:w="0" w:type="dxa"/>
            <w:left w:w="108" w:type="dxa"/>
            <w:bottom w:w="0" w:type="dxa"/>
            <w:right w:w="108" w:type="dxa"/>
          </w:tblCellMar>
        </w:tblPrEx>
        <w:trPr>
          <w:trHeight w:val="1648"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4FF9CD28">
            <w:pPr>
              <w:widowControl/>
              <w:adjustRightInd w:val="0"/>
              <w:snapToGrid w:val="0"/>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实体渠道</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7731995F">
            <w:pPr>
              <w:widowControl/>
              <w:adjustRightInd w:val="0"/>
              <w:snapToGrid w:val="0"/>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加盟店</w:t>
            </w:r>
          </w:p>
        </w:tc>
        <w:tc>
          <w:tcPr>
            <w:tcW w:w="1600" w:type="dxa"/>
            <w:tcBorders>
              <w:top w:val="nil"/>
              <w:left w:val="nil"/>
              <w:bottom w:val="single" w:color="auto" w:sz="4" w:space="0"/>
              <w:right w:val="single" w:color="auto" w:sz="4" w:space="0"/>
            </w:tcBorders>
            <w:shd w:val="clear" w:color="auto" w:fill="auto"/>
            <w:vAlign w:val="center"/>
          </w:tcPr>
          <w:p w14:paraId="366E14F6">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委托加盟店</w:t>
            </w:r>
          </w:p>
        </w:tc>
        <w:tc>
          <w:tcPr>
            <w:tcW w:w="6660" w:type="dxa"/>
            <w:tcBorders>
              <w:top w:val="nil"/>
              <w:left w:val="nil"/>
              <w:bottom w:val="single" w:color="auto" w:sz="4" w:space="0"/>
              <w:right w:val="single" w:color="auto" w:sz="4" w:space="0"/>
            </w:tcBorders>
            <w:shd w:val="clear" w:color="auto" w:fill="auto"/>
            <w:vAlign w:val="center"/>
          </w:tcPr>
          <w:p w14:paraId="54AC4288">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1．加盟合作方必须在当地工商管理部门注册，并能够提供当年有效营业执照；</w:t>
            </w:r>
          </w:p>
          <w:p w14:paraId="5CA39C6F">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2.有一年及以上通信业务运营经验，且最近一年内无严重违规行为；</w:t>
            </w:r>
          </w:p>
          <w:p w14:paraId="00E0B5F6">
            <w:pPr>
              <w:widowControl/>
              <w:adjustRightInd w:val="0"/>
              <w:snapToGrid w:val="0"/>
              <w:spacing w:line="360" w:lineRule="auto"/>
              <w:jc w:val="left"/>
              <w:rPr>
                <w:rFonts w:ascii="仿宋_GB2312" w:hAnsi="宋体" w:eastAsia="仿宋_GB2312" w:cs="宋体"/>
                <w:kern w:val="0"/>
                <w:szCs w:val="21"/>
                <w:highlight w:val="yellow"/>
              </w:rPr>
            </w:pPr>
            <w:r>
              <w:rPr>
                <w:rFonts w:hint="eastAsia" w:ascii="仿宋_GB2312" w:hAnsi="宋体" w:eastAsia="仿宋_GB2312" w:cs="宋体"/>
                <w:kern w:val="0"/>
                <w:szCs w:val="21"/>
              </w:rPr>
              <w:t>3.应配备足够数量的营业人员。</w:t>
            </w:r>
          </w:p>
        </w:tc>
      </w:tr>
      <w:tr w14:paraId="3C299065">
        <w:tblPrEx>
          <w:tblCellMar>
            <w:top w:w="0" w:type="dxa"/>
            <w:left w:w="108" w:type="dxa"/>
            <w:bottom w:w="0" w:type="dxa"/>
            <w:right w:w="108" w:type="dxa"/>
          </w:tblCellMar>
        </w:tblPrEx>
        <w:trPr>
          <w:trHeight w:val="19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14:paraId="1051CA72">
            <w:pPr>
              <w:widowControl/>
              <w:adjustRightInd w:val="0"/>
              <w:snapToGrid w:val="0"/>
              <w:spacing w:line="360" w:lineRule="auto"/>
              <w:jc w:val="left"/>
              <w:rPr>
                <w:rFonts w:ascii="仿宋_GB2312" w:hAnsi="宋体" w:eastAsia="仿宋_GB2312" w:cs="宋体"/>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14:paraId="253D5A67">
            <w:pPr>
              <w:widowControl/>
              <w:adjustRightInd w:val="0"/>
              <w:snapToGrid w:val="0"/>
              <w:spacing w:line="360" w:lineRule="auto"/>
              <w:jc w:val="left"/>
              <w:rPr>
                <w:rFonts w:ascii="仿宋_GB2312" w:hAnsi="宋体" w:eastAsia="仿宋_GB2312" w:cs="宋体"/>
                <w:kern w:val="0"/>
                <w:szCs w:val="21"/>
              </w:rPr>
            </w:pPr>
          </w:p>
        </w:tc>
        <w:tc>
          <w:tcPr>
            <w:tcW w:w="1600" w:type="dxa"/>
            <w:tcBorders>
              <w:top w:val="nil"/>
              <w:left w:val="nil"/>
              <w:bottom w:val="single" w:color="auto" w:sz="4" w:space="0"/>
              <w:right w:val="single" w:color="auto" w:sz="4" w:space="0"/>
            </w:tcBorders>
            <w:shd w:val="clear" w:color="auto" w:fill="auto"/>
            <w:vAlign w:val="center"/>
          </w:tcPr>
          <w:p w14:paraId="4BEC6837">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带店加盟店</w:t>
            </w:r>
          </w:p>
        </w:tc>
        <w:tc>
          <w:tcPr>
            <w:tcW w:w="6660" w:type="dxa"/>
            <w:tcBorders>
              <w:top w:val="nil"/>
              <w:left w:val="nil"/>
              <w:bottom w:val="single" w:color="auto" w:sz="4" w:space="0"/>
              <w:right w:val="single" w:color="auto" w:sz="4" w:space="0"/>
            </w:tcBorders>
            <w:shd w:val="clear" w:color="auto" w:fill="auto"/>
            <w:vAlign w:val="center"/>
          </w:tcPr>
          <w:p w14:paraId="2569AD54">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rPr>
              <w:tab/>
            </w:r>
            <w:r>
              <w:rPr>
                <w:rFonts w:hint="eastAsia" w:ascii="仿宋_GB2312" w:hAnsi="宋体" w:eastAsia="仿宋_GB2312" w:cs="宋体"/>
                <w:kern w:val="0"/>
                <w:szCs w:val="21"/>
              </w:rPr>
              <w:t>加盟合作方必须在当地工商管理部门注册，并能够提供当年有效营业执照；</w:t>
            </w:r>
          </w:p>
          <w:p w14:paraId="77340121">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2.</w:t>
            </w:r>
            <w:r>
              <w:rPr>
                <w:rFonts w:hint="eastAsia" w:ascii="仿宋_GB2312" w:hAnsi="宋体" w:eastAsia="仿宋_GB2312" w:cs="宋体"/>
                <w:kern w:val="0"/>
                <w:szCs w:val="21"/>
              </w:rPr>
              <w:tab/>
            </w:r>
            <w:r>
              <w:rPr>
                <w:rFonts w:hint="eastAsia" w:ascii="仿宋_GB2312" w:hAnsi="宋体" w:eastAsia="仿宋_GB2312" w:cs="宋体"/>
                <w:kern w:val="0"/>
                <w:szCs w:val="21"/>
              </w:rPr>
              <w:t>网点应位于该区域通信零售商圈或核心零售商圈，网点铺位临街或处于人流量旺的地区；</w:t>
            </w:r>
          </w:p>
          <w:p w14:paraId="0A2CFC7C">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3.</w:t>
            </w:r>
            <w:r>
              <w:rPr>
                <w:rFonts w:hint="eastAsia" w:ascii="仿宋_GB2312" w:hAnsi="宋体" w:eastAsia="仿宋_GB2312" w:cs="宋体"/>
                <w:kern w:val="0"/>
                <w:szCs w:val="21"/>
              </w:rPr>
              <w:tab/>
            </w:r>
            <w:r>
              <w:rPr>
                <w:rFonts w:hint="eastAsia" w:ascii="仿宋_GB2312" w:hAnsi="宋体" w:eastAsia="仿宋_GB2312" w:cs="宋体"/>
                <w:kern w:val="0"/>
                <w:szCs w:val="21"/>
              </w:rPr>
              <w:t>加盟门店面积不低于30平米；</w:t>
            </w:r>
          </w:p>
          <w:p w14:paraId="046D2724">
            <w:pPr>
              <w:widowControl/>
              <w:adjustRightInd w:val="0"/>
              <w:snapToGrid w:val="0"/>
              <w:spacing w:line="360" w:lineRule="auto"/>
              <w:jc w:val="left"/>
              <w:rPr>
                <w:rFonts w:ascii="仿宋_GB2312" w:hAnsi="宋体" w:eastAsia="仿宋_GB2312" w:cs="宋体"/>
                <w:kern w:val="0"/>
                <w:szCs w:val="21"/>
                <w:highlight w:val="yellow"/>
              </w:rPr>
            </w:pPr>
            <w:r>
              <w:rPr>
                <w:rFonts w:hint="eastAsia" w:ascii="仿宋_GB2312" w:hAnsi="宋体" w:eastAsia="仿宋_GB2312" w:cs="宋体"/>
                <w:kern w:val="0"/>
                <w:szCs w:val="21"/>
              </w:rPr>
              <w:t>4.</w:t>
            </w:r>
            <w:r>
              <w:rPr>
                <w:rFonts w:hint="eastAsia" w:ascii="仿宋_GB2312" w:hAnsi="宋体" w:eastAsia="仿宋_GB2312" w:cs="宋体"/>
                <w:kern w:val="0"/>
                <w:szCs w:val="21"/>
              </w:rPr>
              <w:tab/>
            </w:r>
            <w:r>
              <w:rPr>
                <w:rFonts w:hint="eastAsia" w:ascii="仿宋_GB2312" w:hAnsi="宋体" w:eastAsia="仿宋_GB2312" w:cs="宋体"/>
                <w:kern w:val="0"/>
                <w:szCs w:val="21"/>
              </w:rPr>
              <w:t>引入合作渠道原则上要求三星级及以上核心渠道（新合作的除外）。</w:t>
            </w:r>
          </w:p>
        </w:tc>
      </w:tr>
      <w:tr w14:paraId="525C9ACE">
        <w:tblPrEx>
          <w:tblCellMar>
            <w:top w:w="0" w:type="dxa"/>
            <w:left w:w="108" w:type="dxa"/>
            <w:bottom w:w="0" w:type="dxa"/>
            <w:right w:w="108" w:type="dxa"/>
          </w:tblCellMar>
        </w:tblPrEx>
        <w:trPr>
          <w:trHeight w:val="12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14:paraId="7A72C686">
            <w:pPr>
              <w:widowControl/>
              <w:adjustRightInd w:val="0"/>
              <w:snapToGrid w:val="0"/>
              <w:spacing w:line="360" w:lineRule="auto"/>
              <w:jc w:val="left"/>
              <w:rPr>
                <w:rFonts w:ascii="仿宋_GB2312" w:hAnsi="宋体" w:eastAsia="仿宋_GB2312" w:cs="宋体"/>
                <w:kern w:val="0"/>
                <w:szCs w:val="21"/>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1754B244">
            <w:pPr>
              <w:widowControl/>
              <w:adjustRightInd w:val="0"/>
              <w:snapToGrid w:val="0"/>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授权店</w:t>
            </w:r>
          </w:p>
        </w:tc>
        <w:tc>
          <w:tcPr>
            <w:tcW w:w="1600" w:type="dxa"/>
            <w:tcBorders>
              <w:top w:val="nil"/>
              <w:left w:val="nil"/>
              <w:bottom w:val="single" w:color="auto" w:sz="4" w:space="0"/>
              <w:right w:val="single" w:color="auto" w:sz="4" w:space="0"/>
            </w:tcBorders>
            <w:shd w:val="clear" w:color="auto" w:fill="auto"/>
            <w:vAlign w:val="center"/>
          </w:tcPr>
          <w:p w14:paraId="78F9A600">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手机卖场--全国连锁卖场</w:t>
            </w:r>
          </w:p>
        </w:tc>
        <w:tc>
          <w:tcPr>
            <w:tcW w:w="6660" w:type="dxa"/>
            <w:tcBorders>
              <w:top w:val="nil"/>
              <w:left w:val="nil"/>
              <w:bottom w:val="single" w:color="auto" w:sz="4" w:space="0"/>
              <w:right w:val="single" w:color="auto" w:sz="4" w:space="0"/>
            </w:tcBorders>
            <w:shd w:val="clear" w:color="auto" w:fill="auto"/>
            <w:vAlign w:val="center"/>
          </w:tcPr>
          <w:p w14:paraId="55167192">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1．全国连锁卖场要符合工商管理部门注册及相关资质要求。</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2.原则上渠道门店布局跨三个省以上，300个以上门店，终端销量排名前列。</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 xml:space="preserve">3.各网点原则上应配备1名以上专职移动终端销售人员，具备上网条件和电脑或终端设备； </w:t>
            </w:r>
          </w:p>
        </w:tc>
      </w:tr>
      <w:tr w14:paraId="524AAF27">
        <w:tblPrEx>
          <w:tblCellMar>
            <w:top w:w="0" w:type="dxa"/>
            <w:left w:w="108" w:type="dxa"/>
            <w:bottom w:w="0" w:type="dxa"/>
            <w:right w:w="108" w:type="dxa"/>
          </w:tblCellMar>
        </w:tblPrEx>
        <w:trPr>
          <w:trHeight w:val="20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14:paraId="328FD2ED">
            <w:pPr>
              <w:widowControl/>
              <w:adjustRightInd w:val="0"/>
              <w:snapToGrid w:val="0"/>
              <w:spacing w:line="360" w:lineRule="auto"/>
              <w:jc w:val="left"/>
              <w:rPr>
                <w:rFonts w:ascii="仿宋_GB2312" w:hAnsi="宋体" w:eastAsia="仿宋_GB2312" w:cs="宋体"/>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14:paraId="6609542C">
            <w:pPr>
              <w:widowControl/>
              <w:adjustRightInd w:val="0"/>
              <w:snapToGrid w:val="0"/>
              <w:spacing w:line="360" w:lineRule="auto"/>
              <w:jc w:val="left"/>
              <w:rPr>
                <w:rFonts w:ascii="仿宋_GB2312" w:hAnsi="宋体" w:eastAsia="仿宋_GB2312" w:cs="宋体"/>
                <w:kern w:val="0"/>
                <w:szCs w:val="21"/>
              </w:rPr>
            </w:pPr>
          </w:p>
        </w:tc>
        <w:tc>
          <w:tcPr>
            <w:tcW w:w="1600" w:type="dxa"/>
            <w:tcBorders>
              <w:top w:val="nil"/>
              <w:left w:val="nil"/>
              <w:bottom w:val="single" w:color="auto" w:sz="4" w:space="0"/>
              <w:right w:val="single" w:color="auto" w:sz="4" w:space="0"/>
            </w:tcBorders>
            <w:shd w:val="clear" w:color="auto" w:fill="auto"/>
            <w:vAlign w:val="center"/>
          </w:tcPr>
          <w:p w14:paraId="37EAFE7B">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手机卖场—省级连锁卖场</w:t>
            </w:r>
          </w:p>
        </w:tc>
        <w:tc>
          <w:tcPr>
            <w:tcW w:w="6660" w:type="dxa"/>
            <w:tcBorders>
              <w:top w:val="nil"/>
              <w:left w:val="nil"/>
              <w:bottom w:val="single" w:color="auto" w:sz="4" w:space="0"/>
              <w:right w:val="single" w:color="auto" w:sz="4" w:space="0"/>
            </w:tcBorders>
            <w:shd w:val="clear" w:color="auto" w:fill="auto"/>
            <w:vAlign w:val="center"/>
          </w:tcPr>
          <w:p w14:paraId="7C261981">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1.网点必须在当地工商管理部门注册，并能够提供当年有效营业执照及年审记录；</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2.省内网点一般拥有若干个独立门店，本省内跨2个及以上地市；</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3.网点必须为合作商统一品牌形象，并可出具相关文件证明与合作商从属关系；</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4.网点应配备1名以上专职移动业务销售人员，具备上网条件和电脑或终端设备；</w:t>
            </w:r>
          </w:p>
        </w:tc>
      </w:tr>
      <w:tr w14:paraId="4D2F29CE">
        <w:tblPrEx>
          <w:tblCellMar>
            <w:top w:w="0" w:type="dxa"/>
            <w:left w:w="108" w:type="dxa"/>
            <w:bottom w:w="0" w:type="dxa"/>
            <w:right w:w="108" w:type="dxa"/>
          </w:tblCellMar>
        </w:tblPrEx>
        <w:trPr>
          <w:trHeight w:val="10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14:paraId="12AE5446">
            <w:pPr>
              <w:widowControl/>
              <w:adjustRightInd w:val="0"/>
              <w:snapToGrid w:val="0"/>
              <w:spacing w:line="360" w:lineRule="auto"/>
              <w:jc w:val="left"/>
              <w:rPr>
                <w:rFonts w:ascii="仿宋_GB2312" w:hAnsi="宋体" w:eastAsia="仿宋_GB2312" w:cs="宋体"/>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14:paraId="28139484">
            <w:pPr>
              <w:widowControl/>
              <w:adjustRightInd w:val="0"/>
              <w:snapToGrid w:val="0"/>
              <w:spacing w:line="360" w:lineRule="auto"/>
              <w:jc w:val="left"/>
              <w:rPr>
                <w:rFonts w:ascii="仿宋_GB2312" w:hAnsi="宋体" w:eastAsia="仿宋_GB2312" w:cs="宋体"/>
                <w:kern w:val="0"/>
                <w:szCs w:val="21"/>
              </w:rPr>
            </w:pPr>
          </w:p>
        </w:tc>
        <w:tc>
          <w:tcPr>
            <w:tcW w:w="1600" w:type="dxa"/>
            <w:tcBorders>
              <w:top w:val="nil"/>
              <w:left w:val="nil"/>
              <w:bottom w:val="single" w:color="auto" w:sz="4" w:space="0"/>
              <w:right w:val="single" w:color="auto" w:sz="4" w:space="0"/>
            </w:tcBorders>
            <w:shd w:val="clear" w:color="auto" w:fill="auto"/>
            <w:vAlign w:val="center"/>
          </w:tcPr>
          <w:p w14:paraId="6A020B23">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手机卖场—市级连锁卖场</w:t>
            </w:r>
          </w:p>
        </w:tc>
        <w:tc>
          <w:tcPr>
            <w:tcW w:w="6660" w:type="dxa"/>
            <w:tcBorders>
              <w:top w:val="nil"/>
              <w:left w:val="nil"/>
              <w:bottom w:val="single" w:color="auto" w:sz="4" w:space="0"/>
              <w:right w:val="single" w:color="auto" w:sz="4" w:space="0"/>
            </w:tcBorders>
            <w:shd w:val="clear" w:color="auto" w:fill="auto"/>
            <w:vAlign w:val="center"/>
          </w:tcPr>
          <w:p w14:paraId="12A75EE7">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1.网点必须在当地工商管理部门注册，并能够提供当年有效营业执照及年审记录；</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2.市级网点一般拥有若干个独立门店；</w:t>
            </w:r>
          </w:p>
          <w:p w14:paraId="79301B68">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3.网点必须为合作商统一品牌形象，并可出具相关文件证明与合作商从属关系；</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4.网点应配备1名以上专职移动业务销售人员，具备上网条件和电脑或终端设备；</w:t>
            </w:r>
          </w:p>
        </w:tc>
      </w:tr>
      <w:tr w14:paraId="14CCD5AA">
        <w:tblPrEx>
          <w:tblCellMar>
            <w:top w:w="0" w:type="dxa"/>
            <w:left w:w="108" w:type="dxa"/>
            <w:bottom w:w="0" w:type="dxa"/>
            <w:right w:w="108" w:type="dxa"/>
          </w:tblCellMar>
        </w:tblPrEx>
        <w:trPr>
          <w:trHeight w:val="10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14:paraId="45EEED1F">
            <w:pPr>
              <w:widowControl/>
              <w:adjustRightInd w:val="0"/>
              <w:snapToGrid w:val="0"/>
              <w:spacing w:line="360" w:lineRule="auto"/>
              <w:jc w:val="left"/>
              <w:rPr>
                <w:rFonts w:ascii="仿宋_GB2312" w:hAnsi="宋体" w:eastAsia="仿宋_GB2312" w:cs="宋体"/>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14:paraId="3954CF91">
            <w:pPr>
              <w:widowControl/>
              <w:adjustRightInd w:val="0"/>
              <w:snapToGrid w:val="0"/>
              <w:spacing w:line="360" w:lineRule="auto"/>
              <w:jc w:val="left"/>
              <w:rPr>
                <w:rFonts w:ascii="仿宋_GB2312" w:hAnsi="宋体" w:eastAsia="仿宋_GB2312" w:cs="宋体"/>
                <w:kern w:val="0"/>
                <w:szCs w:val="21"/>
              </w:rPr>
            </w:pPr>
          </w:p>
        </w:tc>
        <w:tc>
          <w:tcPr>
            <w:tcW w:w="1600" w:type="dxa"/>
            <w:tcBorders>
              <w:top w:val="nil"/>
              <w:left w:val="nil"/>
              <w:bottom w:val="single" w:color="auto" w:sz="4" w:space="0"/>
              <w:right w:val="single" w:color="auto" w:sz="4" w:space="0"/>
            </w:tcBorders>
            <w:shd w:val="clear" w:color="auto" w:fill="auto"/>
            <w:vAlign w:val="center"/>
          </w:tcPr>
          <w:p w14:paraId="4FD1C788">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手机卖场--单店大卖场</w:t>
            </w:r>
          </w:p>
        </w:tc>
        <w:tc>
          <w:tcPr>
            <w:tcW w:w="6660" w:type="dxa"/>
            <w:tcBorders>
              <w:top w:val="nil"/>
              <w:left w:val="nil"/>
              <w:bottom w:val="single" w:color="auto" w:sz="4" w:space="0"/>
              <w:right w:val="single" w:color="auto" w:sz="4" w:space="0"/>
            </w:tcBorders>
            <w:shd w:val="clear" w:color="auto" w:fill="auto"/>
            <w:vAlign w:val="center"/>
          </w:tcPr>
          <w:p w14:paraId="01C098D8">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1．网点必须在当地工商管理部门注册，并能够提供当年有效营业执照及年审记录；</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2．本地商圈中影响力较大、销量较高的单店手机卖场，具有中国移动业务专区。</w:t>
            </w:r>
          </w:p>
        </w:tc>
      </w:tr>
      <w:tr w14:paraId="78F27A9C">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14:paraId="2B1B7808">
            <w:pPr>
              <w:widowControl/>
              <w:adjustRightInd w:val="0"/>
              <w:snapToGrid w:val="0"/>
              <w:spacing w:line="360" w:lineRule="auto"/>
              <w:jc w:val="left"/>
              <w:rPr>
                <w:rFonts w:ascii="仿宋_GB2312" w:hAnsi="宋体" w:eastAsia="仿宋_GB2312" w:cs="宋体"/>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14:paraId="2338F90D">
            <w:pPr>
              <w:widowControl/>
              <w:adjustRightInd w:val="0"/>
              <w:snapToGrid w:val="0"/>
              <w:spacing w:line="360" w:lineRule="auto"/>
              <w:jc w:val="left"/>
              <w:rPr>
                <w:rFonts w:ascii="仿宋_GB2312" w:hAnsi="宋体" w:eastAsia="仿宋_GB2312" w:cs="宋体"/>
                <w:kern w:val="0"/>
                <w:szCs w:val="21"/>
              </w:rPr>
            </w:pPr>
          </w:p>
        </w:tc>
        <w:tc>
          <w:tcPr>
            <w:tcW w:w="1600" w:type="dxa"/>
            <w:tcBorders>
              <w:top w:val="nil"/>
              <w:left w:val="nil"/>
              <w:bottom w:val="single" w:color="auto" w:sz="4" w:space="0"/>
              <w:right w:val="single" w:color="auto" w:sz="4" w:space="0"/>
            </w:tcBorders>
            <w:shd w:val="clear" w:color="auto" w:fill="auto"/>
            <w:vAlign w:val="center"/>
          </w:tcPr>
          <w:p w14:paraId="55D64739">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手机专卖店</w:t>
            </w:r>
          </w:p>
        </w:tc>
        <w:tc>
          <w:tcPr>
            <w:tcW w:w="6660" w:type="dxa"/>
            <w:tcBorders>
              <w:top w:val="nil"/>
              <w:left w:val="nil"/>
              <w:bottom w:val="single" w:color="auto" w:sz="4" w:space="0"/>
              <w:right w:val="single" w:color="auto" w:sz="4" w:space="0"/>
            </w:tcBorders>
            <w:shd w:val="clear" w:color="auto" w:fill="auto"/>
            <w:vAlign w:val="center"/>
          </w:tcPr>
          <w:p w14:paraId="64F120F5">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1．网点必须在当地工商管理部门注册，并能够提供当年有效营业执照及年审记录；</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2．具备终端销售能力，有办理移动业务的人员；</w:t>
            </w:r>
          </w:p>
        </w:tc>
      </w:tr>
      <w:tr w14:paraId="167BFC92">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14:paraId="1AC53B9B">
            <w:pPr>
              <w:widowControl/>
              <w:adjustRightInd w:val="0"/>
              <w:snapToGrid w:val="0"/>
              <w:spacing w:line="360" w:lineRule="auto"/>
              <w:jc w:val="left"/>
              <w:rPr>
                <w:rFonts w:ascii="仿宋_GB2312" w:hAnsi="宋体" w:eastAsia="仿宋_GB2312" w:cs="宋体"/>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14:paraId="2F4BCC2B">
            <w:pPr>
              <w:widowControl/>
              <w:adjustRightInd w:val="0"/>
              <w:snapToGrid w:val="0"/>
              <w:spacing w:line="360" w:lineRule="auto"/>
              <w:jc w:val="left"/>
              <w:rPr>
                <w:rFonts w:ascii="仿宋_GB2312" w:hAnsi="宋体" w:eastAsia="仿宋_GB2312" w:cs="宋体"/>
                <w:kern w:val="0"/>
                <w:szCs w:val="21"/>
              </w:rPr>
            </w:pPr>
          </w:p>
        </w:tc>
        <w:tc>
          <w:tcPr>
            <w:tcW w:w="1600" w:type="dxa"/>
            <w:tcBorders>
              <w:top w:val="nil"/>
              <w:left w:val="nil"/>
              <w:bottom w:val="single" w:color="auto" w:sz="4" w:space="0"/>
              <w:right w:val="single" w:color="auto" w:sz="4" w:space="0"/>
            </w:tcBorders>
            <w:shd w:val="clear" w:color="auto" w:fill="auto"/>
            <w:vAlign w:val="center"/>
          </w:tcPr>
          <w:p w14:paraId="315DC5AB">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授权代理店/点</w:t>
            </w:r>
          </w:p>
        </w:tc>
        <w:tc>
          <w:tcPr>
            <w:tcW w:w="6660" w:type="dxa"/>
            <w:tcBorders>
              <w:top w:val="nil"/>
              <w:left w:val="nil"/>
              <w:bottom w:val="single" w:color="auto" w:sz="4" w:space="0"/>
              <w:right w:val="single" w:color="auto" w:sz="4" w:space="0"/>
            </w:tcBorders>
            <w:shd w:val="clear" w:color="auto" w:fill="auto"/>
            <w:vAlign w:val="center"/>
          </w:tcPr>
          <w:p w14:paraId="71193473">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1．有经营移动业务和产品的区域；</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2．工作人员具备一定的移动业务知识；</w:t>
            </w:r>
          </w:p>
        </w:tc>
      </w:tr>
      <w:tr w14:paraId="4006B367">
        <w:tblPrEx>
          <w:tblCellMar>
            <w:top w:w="0" w:type="dxa"/>
            <w:left w:w="108" w:type="dxa"/>
            <w:bottom w:w="0" w:type="dxa"/>
            <w:right w:w="108" w:type="dxa"/>
          </w:tblCellMar>
        </w:tblPrEx>
        <w:trPr>
          <w:trHeight w:val="8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2D56ACBB">
            <w:pPr>
              <w:widowControl/>
              <w:adjustRightInd w:val="0"/>
              <w:snapToGrid w:val="0"/>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电子渠道</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03894371">
            <w:pPr>
              <w:widowControl/>
              <w:adjustRightInd w:val="0"/>
              <w:snapToGrid w:val="0"/>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社会电子渠道</w:t>
            </w:r>
          </w:p>
        </w:tc>
        <w:tc>
          <w:tcPr>
            <w:tcW w:w="1600" w:type="dxa"/>
            <w:tcBorders>
              <w:top w:val="nil"/>
              <w:left w:val="nil"/>
              <w:bottom w:val="single" w:color="auto" w:sz="4" w:space="0"/>
              <w:right w:val="single" w:color="auto" w:sz="4" w:space="0"/>
            </w:tcBorders>
            <w:shd w:val="clear" w:color="auto" w:fill="auto"/>
            <w:vAlign w:val="center"/>
          </w:tcPr>
          <w:p w14:paraId="367445EA">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B2C电商</w:t>
            </w:r>
          </w:p>
        </w:tc>
        <w:tc>
          <w:tcPr>
            <w:tcW w:w="6660" w:type="dxa"/>
            <w:tcBorders>
              <w:top w:val="nil"/>
              <w:left w:val="nil"/>
              <w:bottom w:val="single" w:color="auto" w:sz="4" w:space="0"/>
              <w:right w:val="single" w:color="auto" w:sz="4" w:space="0"/>
            </w:tcBorders>
            <w:shd w:val="clear" w:color="auto" w:fill="auto"/>
            <w:vAlign w:val="center"/>
          </w:tcPr>
          <w:p w14:paraId="63850A5E">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1．网点必须在当地工商管理部门注册，具有电子商务业务资质；</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2.客户流量或销售量在行业内、同一区域内排名领先；</w:t>
            </w:r>
          </w:p>
        </w:tc>
      </w:tr>
      <w:tr w14:paraId="13D03456">
        <w:tblPrEx>
          <w:tblCellMar>
            <w:top w:w="0" w:type="dxa"/>
            <w:left w:w="108" w:type="dxa"/>
            <w:bottom w:w="0" w:type="dxa"/>
            <w:right w:w="108" w:type="dxa"/>
          </w:tblCellMar>
        </w:tblPrEx>
        <w:trPr>
          <w:trHeight w:val="5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14:paraId="64EDA185">
            <w:pPr>
              <w:widowControl/>
              <w:adjustRightInd w:val="0"/>
              <w:snapToGrid w:val="0"/>
              <w:spacing w:line="360" w:lineRule="auto"/>
              <w:jc w:val="left"/>
              <w:rPr>
                <w:rFonts w:ascii="仿宋_GB2312" w:hAnsi="宋体" w:eastAsia="仿宋_GB2312" w:cs="宋体"/>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14:paraId="34F17717">
            <w:pPr>
              <w:widowControl/>
              <w:adjustRightInd w:val="0"/>
              <w:snapToGrid w:val="0"/>
              <w:spacing w:line="360" w:lineRule="auto"/>
              <w:jc w:val="left"/>
              <w:rPr>
                <w:rFonts w:ascii="仿宋_GB2312" w:hAnsi="宋体" w:eastAsia="仿宋_GB2312" w:cs="宋体"/>
                <w:kern w:val="0"/>
                <w:szCs w:val="21"/>
              </w:rPr>
            </w:pPr>
          </w:p>
        </w:tc>
        <w:tc>
          <w:tcPr>
            <w:tcW w:w="1600" w:type="dxa"/>
            <w:tcBorders>
              <w:top w:val="nil"/>
              <w:left w:val="nil"/>
              <w:bottom w:val="single" w:color="auto" w:sz="4" w:space="0"/>
              <w:right w:val="single" w:color="auto" w:sz="4" w:space="0"/>
            </w:tcBorders>
            <w:shd w:val="clear" w:color="auto" w:fill="auto"/>
            <w:vAlign w:val="center"/>
          </w:tcPr>
          <w:p w14:paraId="7C4C5EEE">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互联网分销</w:t>
            </w:r>
          </w:p>
        </w:tc>
        <w:tc>
          <w:tcPr>
            <w:tcW w:w="6660" w:type="dxa"/>
            <w:tcBorders>
              <w:top w:val="nil"/>
              <w:left w:val="nil"/>
              <w:bottom w:val="single" w:color="auto" w:sz="4" w:space="0"/>
              <w:right w:val="single" w:color="auto" w:sz="4" w:space="0"/>
            </w:tcBorders>
            <w:shd w:val="clear" w:color="auto" w:fill="auto"/>
            <w:vAlign w:val="center"/>
          </w:tcPr>
          <w:p w14:paraId="5AD55BDB">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1．网点必须在当地工商管理部门注册，具有互联网业务资质；</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2.网站/APP具有移动业务对应的客户群，且在同类型网站/APP中排名前列。</w:t>
            </w:r>
          </w:p>
        </w:tc>
      </w:tr>
      <w:tr w14:paraId="1C257A02">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30586848">
            <w:pPr>
              <w:widowControl/>
              <w:adjustRightInd w:val="0"/>
              <w:snapToGrid w:val="0"/>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直销渠道</w:t>
            </w:r>
          </w:p>
        </w:tc>
        <w:tc>
          <w:tcPr>
            <w:tcW w:w="1080" w:type="dxa"/>
            <w:tcBorders>
              <w:top w:val="nil"/>
              <w:left w:val="single" w:color="auto" w:sz="4" w:space="0"/>
              <w:bottom w:val="single" w:color="auto" w:sz="4" w:space="0"/>
              <w:right w:val="single" w:color="auto" w:sz="4" w:space="0"/>
            </w:tcBorders>
            <w:shd w:val="clear" w:color="auto" w:fill="auto"/>
            <w:vAlign w:val="center"/>
          </w:tcPr>
          <w:p w14:paraId="41079188">
            <w:pPr>
              <w:widowControl/>
              <w:adjustRightInd w:val="0"/>
              <w:snapToGrid w:val="0"/>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社会直销渠道）</w:t>
            </w:r>
          </w:p>
        </w:tc>
        <w:tc>
          <w:tcPr>
            <w:tcW w:w="1600" w:type="dxa"/>
            <w:tcBorders>
              <w:top w:val="nil"/>
              <w:left w:val="single" w:color="auto" w:sz="4" w:space="0"/>
              <w:bottom w:val="single" w:color="auto" w:sz="4" w:space="0"/>
              <w:right w:val="single" w:color="auto" w:sz="4" w:space="0"/>
            </w:tcBorders>
            <w:shd w:val="clear" w:color="auto" w:fill="auto"/>
            <w:vAlign w:val="center"/>
          </w:tcPr>
          <w:p w14:paraId="0581FF50">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直销渠道</w:t>
            </w:r>
          </w:p>
        </w:tc>
        <w:tc>
          <w:tcPr>
            <w:tcW w:w="6660" w:type="dxa"/>
            <w:tcBorders>
              <w:top w:val="nil"/>
              <w:left w:val="nil"/>
              <w:bottom w:val="single" w:color="auto" w:sz="4" w:space="0"/>
              <w:right w:val="single" w:color="auto" w:sz="4" w:space="0"/>
            </w:tcBorders>
            <w:shd w:val="clear" w:color="auto" w:fill="auto"/>
            <w:vAlign w:val="center"/>
          </w:tcPr>
          <w:p w14:paraId="65BD226E">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1．具备当地乡镇、校园或社区内有一定影响力，熟悉移动业务；</w:t>
            </w:r>
          </w:p>
          <w:p w14:paraId="3184E293">
            <w:pPr>
              <w:widowControl/>
              <w:adjustRightInd w:val="0"/>
              <w:snapToGrid w:val="0"/>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2．具备完善的管理能力。</w:t>
            </w:r>
          </w:p>
        </w:tc>
      </w:tr>
    </w:tbl>
    <w:p w14:paraId="65FFFE68">
      <w:pPr>
        <w:adjustRightInd w:val="0"/>
        <w:snapToGrid w:val="0"/>
        <w:spacing w:line="360" w:lineRule="auto"/>
        <w:rPr>
          <w:rFonts w:ascii="仿宋_GB2312" w:eastAsia="仿宋_GB2312"/>
          <w:sz w:val="28"/>
          <w:szCs w:val="28"/>
        </w:rPr>
      </w:pP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AF26">
    <w:pPr>
      <w:pStyle w:val="9"/>
      <w:jc w:val="right"/>
    </w:pPr>
  </w:p>
  <w:p w14:paraId="431F687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2169">
    <w:pPr>
      <w:pStyle w:val="9"/>
      <w:jc w:val="right"/>
    </w:pPr>
  </w:p>
  <w:p w14:paraId="40766DD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8BD66">
    <w:pPr>
      <w:pStyle w:val="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p w14:paraId="21C4CAF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C8C14">
    <w:pPr>
      <w:pStyle w:val="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14:paraId="51F38DD0">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B5DE0"/>
    <w:multiLevelType w:val="multilevel"/>
    <w:tmpl w:val="0F0B5DE0"/>
    <w:lvl w:ilvl="0" w:tentative="0">
      <w:start w:val="1"/>
      <w:numFmt w:val="decimal"/>
      <w:pStyle w:val="24"/>
      <w:isLgl/>
      <w:lvlText w:val="第 %1 条  "/>
      <w:lvlJc w:val="left"/>
      <w:pPr>
        <w:tabs>
          <w:tab w:val="left" w:pos="1979"/>
        </w:tabs>
        <w:ind w:left="0" w:firstLine="624"/>
      </w:pPr>
      <w:rPr>
        <w:rFonts w:hint="eastAsia"/>
        <w:b/>
        <w:i w:val="0"/>
      </w:rPr>
    </w:lvl>
    <w:lvl w:ilvl="1" w:tentative="0">
      <w:start w:val="1"/>
      <w:numFmt w:val="decimal"/>
      <w:lvlText w:val=""/>
      <w:lvlJc w:val="left"/>
      <w:pPr>
        <w:tabs>
          <w:tab w:val="left" w:pos="360"/>
        </w:tabs>
        <w:ind w:left="0" w:firstLine="0"/>
      </w:pPr>
      <w:rPr>
        <w:rFonts w:hint="eastAsia"/>
      </w:rPr>
    </w:lvl>
    <w:lvl w:ilvl="2" w:tentative="0">
      <w:start w:val="1"/>
      <w:numFmt w:val="decimal"/>
      <w:lvlText w:val=""/>
      <w:lvlJc w:val="left"/>
      <w:pPr>
        <w:tabs>
          <w:tab w:val="left" w:pos="360"/>
        </w:tabs>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1">
    <w:nsid w:val="5A1E6F05"/>
    <w:multiLevelType w:val="multilevel"/>
    <w:tmpl w:val="5A1E6F05"/>
    <w:lvl w:ilvl="0" w:tentative="0">
      <w:start w:val="1"/>
      <w:numFmt w:val="chineseCountingThousand"/>
      <w:pStyle w:val="2"/>
      <w:lvlText w:val="第%1章"/>
      <w:lvlJc w:val="left"/>
      <w:pPr>
        <w:tabs>
          <w:tab w:val="left" w:pos="1304"/>
        </w:tabs>
        <w:ind w:left="0" w:firstLine="0"/>
      </w:pPr>
      <w:rPr>
        <w:rFonts w:hint="eastAsia" w:eastAsia="仿宋_GB2312"/>
        <w:lang w:val="en-US"/>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7167BA4"/>
    <w:multiLevelType w:val="multilevel"/>
    <w:tmpl w:val="67167BA4"/>
    <w:lvl w:ilvl="0" w:tentative="0">
      <w:start w:val="1"/>
      <w:numFmt w:val="chineseCountingThousand"/>
      <w:lvlText w:val="    第%1条  "/>
      <w:lvlJc w:val="left"/>
      <w:pPr>
        <w:ind w:left="0" w:firstLine="0"/>
      </w:pPr>
      <w:rPr>
        <w:rFonts w:hint="eastAsia" w:ascii="楷体_GB2312" w:eastAsia="楷体_GB2312"/>
        <w:b w:val="0"/>
        <w:color w:val="auto"/>
        <w:sz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098A"/>
    <w:rsid w:val="00001D11"/>
    <w:rsid w:val="000035E8"/>
    <w:rsid w:val="000051B6"/>
    <w:rsid w:val="000070FB"/>
    <w:rsid w:val="000114F2"/>
    <w:rsid w:val="0002282B"/>
    <w:rsid w:val="0002468B"/>
    <w:rsid w:val="000246EE"/>
    <w:rsid w:val="000260F0"/>
    <w:rsid w:val="000302E8"/>
    <w:rsid w:val="0003205E"/>
    <w:rsid w:val="00032CDD"/>
    <w:rsid w:val="00033EF6"/>
    <w:rsid w:val="000434C1"/>
    <w:rsid w:val="0004794D"/>
    <w:rsid w:val="00050719"/>
    <w:rsid w:val="000516DA"/>
    <w:rsid w:val="0006318E"/>
    <w:rsid w:val="000701D8"/>
    <w:rsid w:val="00072F7C"/>
    <w:rsid w:val="00073C38"/>
    <w:rsid w:val="00074A08"/>
    <w:rsid w:val="00075AD0"/>
    <w:rsid w:val="00085AA6"/>
    <w:rsid w:val="000923B5"/>
    <w:rsid w:val="00092ABF"/>
    <w:rsid w:val="00094323"/>
    <w:rsid w:val="000961DF"/>
    <w:rsid w:val="00097289"/>
    <w:rsid w:val="000A02E2"/>
    <w:rsid w:val="000A2480"/>
    <w:rsid w:val="000A4E44"/>
    <w:rsid w:val="000A66C8"/>
    <w:rsid w:val="000A7CB3"/>
    <w:rsid w:val="000B02D8"/>
    <w:rsid w:val="000B0FC7"/>
    <w:rsid w:val="000B3BAF"/>
    <w:rsid w:val="000B53CA"/>
    <w:rsid w:val="000B5493"/>
    <w:rsid w:val="000B5EBF"/>
    <w:rsid w:val="000B649F"/>
    <w:rsid w:val="000C2D16"/>
    <w:rsid w:val="000C3253"/>
    <w:rsid w:val="000D0B51"/>
    <w:rsid w:val="000D18B8"/>
    <w:rsid w:val="000D1B82"/>
    <w:rsid w:val="000D2410"/>
    <w:rsid w:val="000D2EC1"/>
    <w:rsid w:val="000D2EC8"/>
    <w:rsid w:val="000D4CED"/>
    <w:rsid w:val="000D5758"/>
    <w:rsid w:val="000D6D64"/>
    <w:rsid w:val="000E009A"/>
    <w:rsid w:val="000F5D44"/>
    <w:rsid w:val="000F7CA7"/>
    <w:rsid w:val="00106B82"/>
    <w:rsid w:val="00110964"/>
    <w:rsid w:val="00112F06"/>
    <w:rsid w:val="00113746"/>
    <w:rsid w:val="00115E63"/>
    <w:rsid w:val="001202C3"/>
    <w:rsid w:val="00123D57"/>
    <w:rsid w:val="00132847"/>
    <w:rsid w:val="001371ED"/>
    <w:rsid w:val="00140BF5"/>
    <w:rsid w:val="00141273"/>
    <w:rsid w:val="001426E5"/>
    <w:rsid w:val="00147762"/>
    <w:rsid w:val="00154624"/>
    <w:rsid w:val="0015659F"/>
    <w:rsid w:val="00165177"/>
    <w:rsid w:val="0016559B"/>
    <w:rsid w:val="00165EF3"/>
    <w:rsid w:val="00177415"/>
    <w:rsid w:val="00183773"/>
    <w:rsid w:val="00186B23"/>
    <w:rsid w:val="00196456"/>
    <w:rsid w:val="001A019F"/>
    <w:rsid w:val="001A11D9"/>
    <w:rsid w:val="001A1ED8"/>
    <w:rsid w:val="001A3E1B"/>
    <w:rsid w:val="001A458D"/>
    <w:rsid w:val="001B1677"/>
    <w:rsid w:val="001B3864"/>
    <w:rsid w:val="001B422C"/>
    <w:rsid w:val="001C19B9"/>
    <w:rsid w:val="001C3532"/>
    <w:rsid w:val="001C3FF2"/>
    <w:rsid w:val="001D0251"/>
    <w:rsid w:val="001D431D"/>
    <w:rsid w:val="001D462D"/>
    <w:rsid w:val="001D5847"/>
    <w:rsid w:val="001D5FDC"/>
    <w:rsid w:val="001E336B"/>
    <w:rsid w:val="001E5893"/>
    <w:rsid w:val="001E6404"/>
    <w:rsid w:val="001F1E6C"/>
    <w:rsid w:val="001F3B6B"/>
    <w:rsid w:val="001F4895"/>
    <w:rsid w:val="0021372E"/>
    <w:rsid w:val="00224F32"/>
    <w:rsid w:val="0022514B"/>
    <w:rsid w:val="002261BA"/>
    <w:rsid w:val="002369DA"/>
    <w:rsid w:val="00237861"/>
    <w:rsid w:val="0024521E"/>
    <w:rsid w:val="0024579E"/>
    <w:rsid w:val="0024606A"/>
    <w:rsid w:val="00247A01"/>
    <w:rsid w:val="00250A97"/>
    <w:rsid w:val="00256FCD"/>
    <w:rsid w:val="00257792"/>
    <w:rsid w:val="002577DE"/>
    <w:rsid w:val="0026009C"/>
    <w:rsid w:val="00260DF0"/>
    <w:rsid w:val="00261869"/>
    <w:rsid w:val="00263A72"/>
    <w:rsid w:val="00281BD1"/>
    <w:rsid w:val="00287860"/>
    <w:rsid w:val="00290187"/>
    <w:rsid w:val="002A2702"/>
    <w:rsid w:val="002A643B"/>
    <w:rsid w:val="002A788C"/>
    <w:rsid w:val="002B726F"/>
    <w:rsid w:val="002C1BDD"/>
    <w:rsid w:val="002C489C"/>
    <w:rsid w:val="002C5A0C"/>
    <w:rsid w:val="002C7D79"/>
    <w:rsid w:val="002D059D"/>
    <w:rsid w:val="002D21E6"/>
    <w:rsid w:val="002D30B8"/>
    <w:rsid w:val="002D77E8"/>
    <w:rsid w:val="002D7BA3"/>
    <w:rsid w:val="002E5C22"/>
    <w:rsid w:val="002F3D3F"/>
    <w:rsid w:val="00301CA9"/>
    <w:rsid w:val="00304E53"/>
    <w:rsid w:val="00306B29"/>
    <w:rsid w:val="00312AC1"/>
    <w:rsid w:val="00313084"/>
    <w:rsid w:val="0032196E"/>
    <w:rsid w:val="00326431"/>
    <w:rsid w:val="00335689"/>
    <w:rsid w:val="00335B71"/>
    <w:rsid w:val="00336368"/>
    <w:rsid w:val="00337153"/>
    <w:rsid w:val="003411D8"/>
    <w:rsid w:val="003413A6"/>
    <w:rsid w:val="00343519"/>
    <w:rsid w:val="00346954"/>
    <w:rsid w:val="00351E47"/>
    <w:rsid w:val="00356EC7"/>
    <w:rsid w:val="003604A9"/>
    <w:rsid w:val="0036198A"/>
    <w:rsid w:val="00366B27"/>
    <w:rsid w:val="003729F6"/>
    <w:rsid w:val="003744B3"/>
    <w:rsid w:val="00377E87"/>
    <w:rsid w:val="003812CE"/>
    <w:rsid w:val="003867F9"/>
    <w:rsid w:val="00387467"/>
    <w:rsid w:val="0039227D"/>
    <w:rsid w:val="003979E6"/>
    <w:rsid w:val="003B040D"/>
    <w:rsid w:val="003B19BD"/>
    <w:rsid w:val="003B264F"/>
    <w:rsid w:val="003B46D7"/>
    <w:rsid w:val="003B4F2D"/>
    <w:rsid w:val="003B5E4F"/>
    <w:rsid w:val="003C3CDD"/>
    <w:rsid w:val="003C7F2D"/>
    <w:rsid w:val="003D0EE5"/>
    <w:rsid w:val="003D3F29"/>
    <w:rsid w:val="003E2D18"/>
    <w:rsid w:val="003E2E6A"/>
    <w:rsid w:val="003E751E"/>
    <w:rsid w:val="003F0615"/>
    <w:rsid w:val="003F072D"/>
    <w:rsid w:val="003F3460"/>
    <w:rsid w:val="003F523D"/>
    <w:rsid w:val="00401FD0"/>
    <w:rsid w:val="00413233"/>
    <w:rsid w:val="00413662"/>
    <w:rsid w:val="00414014"/>
    <w:rsid w:val="0041579E"/>
    <w:rsid w:val="00421E93"/>
    <w:rsid w:val="004305DD"/>
    <w:rsid w:val="004321D9"/>
    <w:rsid w:val="00432B76"/>
    <w:rsid w:val="00434A1B"/>
    <w:rsid w:val="0043546D"/>
    <w:rsid w:val="00436860"/>
    <w:rsid w:val="0044017E"/>
    <w:rsid w:val="0044146F"/>
    <w:rsid w:val="00444B0F"/>
    <w:rsid w:val="00445BB9"/>
    <w:rsid w:val="004700C9"/>
    <w:rsid w:val="00471D86"/>
    <w:rsid w:val="00472D79"/>
    <w:rsid w:val="004767BD"/>
    <w:rsid w:val="00482AD2"/>
    <w:rsid w:val="004862D8"/>
    <w:rsid w:val="00492938"/>
    <w:rsid w:val="00493E01"/>
    <w:rsid w:val="00495D19"/>
    <w:rsid w:val="004A427B"/>
    <w:rsid w:val="004B2B6A"/>
    <w:rsid w:val="004B3496"/>
    <w:rsid w:val="004C020E"/>
    <w:rsid w:val="004C0787"/>
    <w:rsid w:val="004C6E1E"/>
    <w:rsid w:val="004D0AEB"/>
    <w:rsid w:val="004D0B53"/>
    <w:rsid w:val="004D311A"/>
    <w:rsid w:val="004D53F9"/>
    <w:rsid w:val="004E1DC7"/>
    <w:rsid w:val="004E4F3E"/>
    <w:rsid w:val="004E7024"/>
    <w:rsid w:val="004F0829"/>
    <w:rsid w:val="004F43C6"/>
    <w:rsid w:val="004F51E5"/>
    <w:rsid w:val="00500FAA"/>
    <w:rsid w:val="00501E23"/>
    <w:rsid w:val="00510D48"/>
    <w:rsid w:val="00514B26"/>
    <w:rsid w:val="0051584E"/>
    <w:rsid w:val="00516C86"/>
    <w:rsid w:val="005246FB"/>
    <w:rsid w:val="00532416"/>
    <w:rsid w:val="00534E28"/>
    <w:rsid w:val="00543593"/>
    <w:rsid w:val="00543F11"/>
    <w:rsid w:val="005530F5"/>
    <w:rsid w:val="00555F9B"/>
    <w:rsid w:val="0055663E"/>
    <w:rsid w:val="00560051"/>
    <w:rsid w:val="005652EE"/>
    <w:rsid w:val="005752C4"/>
    <w:rsid w:val="00576735"/>
    <w:rsid w:val="00577151"/>
    <w:rsid w:val="00583FEC"/>
    <w:rsid w:val="005849F5"/>
    <w:rsid w:val="00587664"/>
    <w:rsid w:val="00587B21"/>
    <w:rsid w:val="00592FBC"/>
    <w:rsid w:val="00594185"/>
    <w:rsid w:val="005A179F"/>
    <w:rsid w:val="005A513B"/>
    <w:rsid w:val="005A68D5"/>
    <w:rsid w:val="005B65A5"/>
    <w:rsid w:val="005C0B7C"/>
    <w:rsid w:val="005D3BCE"/>
    <w:rsid w:val="005D5EAE"/>
    <w:rsid w:val="005E0DFD"/>
    <w:rsid w:val="005F4B05"/>
    <w:rsid w:val="006033D6"/>
    <w:rsid w:val="0060395D"/>
    <w:rsid w:val="0060503C"/>
    <w:rsid w:val="00606A5E"/>
    <w:rsid w:val="00612826"/>
    <w:rsid w:val="00612E64"/>
    <w:rsid w:val="00613900"/>
    <w:rsid w:val="00614B86"/>
    <w:rsid w:val="006161D5"/>
    <w:rsid w:val="00622D80"/>
    <w:rsid w:val="00623465"/>
    <w:rsid w:val="006309F3"/>
    <w:rsid w:val="00631234"/>
    <w:rsid w:val="00631DA7"/>
    <w:rsid w:val="006417C1"/>
    <w:rsid w:val="006440F0"/>
    <w:rsid w:val="00644275"/>
    <w:rsid w:val="006526C4"/>
    <w:rsid w:val="0065538E"/>
    <w:rsid w:val="00655757"/>
    <w:rsid w:val="0065690E"/>
    <w:rsid w:val="0065691D"/>
    <w:rsid w:val="006679AB"/>
    <w:rsid w:val="00671F8F"/>
    <w:rsid w:val="00676D08"/>
    <w:rsid w:val="006770CF"/>
    <w:rsid w:val="00683461"/>
    <w:rsid w:val="00685C96"/>
    <w:rsid w:val="0068765A"/>
    <w:rsid w:val="00690329"/>
    <w:rsid w:val="006A7847"/>
    <w:rsid w:val="006A7E4F"/>
    <w:rsid w:val="006B0E6C"/>
    <w:rsid w:val="006B10AC"/>
    <w:rsid w:val="006B1237"/>
    <w:rsid w:val="006B374C"/>
    <w:rsid w:val="006B7F21"/>
    <w:rsid w:val="006C2F55"/>
    <w:rsid w:val="006C6289"/>
    <w:rsid w:val="006D7695"/>
    <w:rsid w:val="006E515E"/>
    <w:rsid w:val="006F6E1C"/>
    <w:rsid w:val="006F7B4B"/>
    <w:rsid w:val="006F7E1A"/>
    <w:rsid w:val="00702988"/>
    <w:rsid w:val="00702E81"/>
    <w:rsid w:val="00707AA8"/>
    <w:rsid w:val="00707C30"/>
    <w:rsid w:val="00715EFC"/>
    <w:rsid w:val="00720204"/>
    <w:rsid w:val="007221F2"/>
    <w:rsid w:val="00725ED0"/>
    <w:rsid w:val="007268F5"/>
    <w:rsid w:val="007320EB"/>
    <w:rsid w:val="007332B9"/>
    <w:rsid w:val="00733494"/>
    <w:rsid w:val="007359ED"/>
    <w:rsid w:val="007363BC"/>
    <w:rsid w:val="007368CB"/>
    <w:rsid w:val="00741325"/>
    <w:rsid w:val="00743DE0"/>
    <w:rsid w:val="0074563E"/>
    <w:rsid w:val="00750206"/>
    <w:rsid w:val="00757760"/>
    <w:rsid w:val="00761607"/>
    <w:rsid w:val="0076435B"/>
    <w:rsid w:val="00764F8B"/>
    <w:rsid w:val="007659F2"/>
    <w:rsid w:val="007722F7"/>
    <w:rsid w:val="007736F4"/>
    <w:rsid w:val="0077379A"/>
    <w:rsid w:val="0077475B"/>
    <w:rsid w:val="00785D09"/>
    <w:rsid w:val="00786C38"/>
    <w:rsid w:val="00787190"/>
    <w:rsid w:val="00792EDD"/>
    <w:rsid w:val="007937B0"/>
    <w:rsid w:val="007A5A65"/>
    <w:rsid w:val="007B53F3"/>
    <w:rsid w:val="007D1E28"/>
    <w:rsid w:val="007D4322"/>
    <w:rsid w:val="007E16FB"/>
    <w:rsid w:val="007E2577"/>
    <w:rsid w:val="007E59A2"/>
    <w:rsid w:val="007E6E0A"/>
    <w:rsid w:val="007F39E1"/>
    <w:rsid w:val="008026FC"/>
    <w:rsid w:val="00803545"/>
    <w:rsid w:val="0081089C"/>
    <w:rsid w:val="00817D76"/>
    <w:rsid w:val="008207EA"/>
    <w:rsid w:val="00821577"/>
    <w:rsid w:val="008229D9"/>
    <w:rsid w:val="00831CF8"/>
    <w:rsid w:val="008328B6"/>
    <w:rsid w:val="00836F2E"/>
    <w:rsid w:val="00850F1F"/>
    <w:rsid w:val="00851D6C"/>
    <w:rsid w:val="00862353"/>
    <w:rsid w:val="00862811"/>
    <w:rsid w:val="00862EC6"/>
    <w:rsid w:val="008648C7"/>
    <w:rsid w:val="0087267D"/>
    <w:rsid w:val="00875A98"/>
    <w:rsid w:val="008804B9"/>
    <w:rsid w:val="00880533"/>
    <w:rsid w:val="008806CC"/>
    <w:rsid w:val="00880996"/>
    <w:rsid w:val="008819F0"/>
    <w:rsid w:val="00881DAA"/>
    <w:rsid w:val="0088224C"/>
    <w:rsid w:val="00883889"/>
    <w:rsid w:val="00887901"/>
    <w:rsid w:val="00896376"/>
    <w:rsid w:val="008A5C6D"/>
    <w:rsid w:val="008A7A63"/>
    <w:rsid w:val="008A7E41"/>
    <w:rsid w:val="008B1136"/>
    <w:rsid w:val="008C0E4F"/>
    <w:rsid w:val="008C1AC7"/>
    <w:rsid w:val="008C1E1C"/>
    <w:rsid w:val="008C3CBB"/>
    <w:rsid w:val="008C4010"/>
    <w:rsid w:val="008C4DF9"/>
    <w:rsid w:val="008D0AD3"/>
    <w:rsid w:val="008D2FED"/>
    <w:rsid w:val="008D4C58"/>
    <w:rsid w:val="008D6131"/>
    <w:rsid w:val="008E412D"/>
    <w:rsid w:val="008E41AF"/>
    <w:rsid w:val="008E6259"/>
    <w:rsid w:val="008E63C5"/>
    <w:rsid w:val="008F1047"/>
    <w:rsid w:val="008F3C5B"/>
    <w:rsid w:val="008F6475"/>
    <w:rsid w:val="008F6DD3"/>
    <w:rsid w:val="009023BD"/>
    <w:rsid w:val="009102B0"/>
    <w:rsid w:val="009169F7"/>
    <w:rsid w:val="009218F2"/>
    <w:rsid w:val="00931284"/>
    <w:rsid w:val="0093334B"/>
    <w:rsid w:val="00943080"/>
    <w:rsid w:val="00945200"/>
    <w:rsid w:val="009458F7"/>
    <w:rsid w:val="009463C7"/>
    <w:rsid w:val="009500F8"/>
    <w:rsid w:val="00952505"/>
    <w:rsid w:val="00952CF6"/>
    <w:rsid w:val="00955275"/>
    <w:rsid w:val="00956229"/>
    <w:rsid w:val="00963598"/>
    <w:rsid w:val="00967900"/>
    <w:rsid w:val="00967EAA"/>
    <w:rsid w:val="009726E1"/>
    <w:rsid w:val="009734FB"/>
    <w:rsid w:val="00983409"/>
    <w:rsid w:val="0098382D"/>
    <w:rsid w:val="00983B74"/>
    <w:rsid w:val="00984122"/>
    <w:rsid w:val="00990877"/>
    <w:rsid w:val="009957C1"/>
    <w:rsid w:val="009967CF"/>
    <w:rsid w:val="0099742E"/>
    <w:rsid w:val="009A2C45"/>
    <w:rsid w:val="009A5C27"/>
    <w:rsid w:val="009B04E9"/>
    <w:rsid w:val="009B40F3"/>
    <w:rsid w:val="009C1163"/>
    <w:rsid w:val="009C2164"/>
    <w:rsid w:val="009C47B0"/>
    <w:rsid w:val="009C4ECE"/>
    <w:rsid w:val="009D1317"/>
    <w:rsid w:val="009D51A3"/>
    <w:rsid w:val="009D6833"/>
    <w:rsid w:val="009E4DEB"/>
    <w:rsid w:val="009E512D"/>
    <w:rsid w:val="009F19E3"/>
    <w:rsid w:val="009F5575"/>
    <w:rsid w:val="009F56D2"/>
    <w:rsid w:val="009F7D9A"/>
    <w:rsid w:val="00A0132F"/>
    <w:rsid w:val="00A103CF"/>
    <w:rsid w:val="00A11E48"/>
    <w:rsid w:val="00A15120"/>
    <w:rsid w:val="00A1555B"/>
    <w:rsid w:val="00A1594C"/>
    <w:rsid w:val="00A17C62"/>
    <w:rsid w:val="00A23E41"/>
    <w:rsid w:val="00A2636A"/>
    <w:rsid w:val="00A31B55"/>
    <w:rsid w:val="00A446C9"/>
    <w:rsid w:val="00A47BEB"/>
    <w:rsid w:val="00A52313"/>
    <w:rsid w:val="00A558FE"/>
    <w:rsid w:val="00A56907"/>
    <w:rsid w:val="00A63B3A"/>
    <w:rsid w:val="00A65639"/>
    <w:rsid w:val="00A67802"/>
    <w:rsid w:val="00A71FA6"/>
    <w:rsid w:val="00A7329C"/>
    <w:rsid w:val="00A743F0"/>
    <w:rsid w:val="00A80D0C"/>
    <w:rsid w:val="00A827D7"/>
    <w:rsid w:val="00A90363"/>
    <w:rsid w:val="00A90AC4"/>
    <w:rsid w:val="00A90DCB"/>
    <w:rsid w:val="00A9109E"/>
    <w:rsid w:val="00A91AEE"/>
    <w:rsid w:val="00A93D94"/>
    <w:rsid w:val="00A969B2"/>
    <w:rsid w:val="00AA0EAA"/>
    <w:rsid w:val="00AA3BB8"/>
    <w:rsid w:val="00AB16A5"/>
    <w:rsid w:val="00AB3C2E"/>
    <w:rsid w:val="00AB6244"/>
    <w:rsid w:val="00AD17E1"/>
    <w:rsid w:val="00AD1DB1"/>
    <w:rsid w:val="00AD205F"/>
    <w:rsid w:val="00AD2D07"/>
    <w:rsid w:val="00AE064E"/>
    <w:rsid w:val="00AE238F"/>
    <w:rsid w:val="00AE50A1"/>
    <w:rsid w:val="00AF05AF"/>
    <w:rsid w:val="00AF247C"/>
    <w:rsid w:val="00AF540F"/>
    <w:rsid w:val="00AF6DFD"/>
    <w:rsid w:val="00AF7802"/>
    <w:rsid w:val="00B0112E"/>
    <w:rsid w:val="00B01F31"/>
    <w:rsid w:val="00B0575E"/>
    <w:rsid w:val="00B079A9"/>
    <w:rsid w:val="00B131A9"/>
    <w:rsid w:val="00B2085D"/>
    <w:rsid w:val="00B20FD5"/>
    <w:rsid w:val="00B22353"/>
    <w:rsid w:val="00B257A1"/>
    <w:rsid w:val="00B30DE9"/>
    <w:rsid w:val="00B33522"/>
    <w:rsid w:val="00B34EA5"/>
    <w:rsid w:val="00B501C5"/>
    <w:rsid w:val="00B5162A"/>
    <w:rsid w:val="00B53518"/>
    <w:rsid w:val="00B63F5A"/>
    <w:rsid w:val="00B642D8"/>
    <w:rsid w:val="00B66118"/>
    <w:rsid w:val="00B67778"/>
    <w:rsid w:val="00B7349C"/>
    <w:rsid w:val="00B778D4"/>
    <w:rsid w:val="00B80A03"/>
    <w:rsid w:val="00B81E49"/>
    <w:rsid w:val="00B870DF"/>
    <w:rsid w:val="00B92575"/>
    <w:rsid w:val="00BA0027"/>
    <w:rsid w:val="00BA0402"/>
    <w:rsid w:val="00BA14B4"/>
    <w:rsid w:val="00BA4954"/>
    <w:rsid w:val="00BB2767"/>
    <w:rsid w:val="00BC1483"/>
    <w:rsid w:val="00BC22C8"/>
    <w:rsid w:val="00BC2B35"/>
    <w:rsid w:val="00BC7793"/>
    <w:rsid w:val="00BD2C41"/>
    <w:rsid w:val="00BD33FF"/>
    <w:rsid w:val="00BE08E6"/>
    <w:rsid w:val="00BE3260"/>
    <w:rsid w:val="00BE3788"/>
    <w:rsid w:val="00BE7036"/>
    <w:rsid w:val="00BF2D0F"/>
    <w:rsid w:val="00BF727A"/>
    <w:rsid w:val="00BF7F80"/>
    <w:rsid w:val="00C02D46"/>
    <w:rsid w:val="00C05DC2"/>
    <w:rsid w:val="00C11E6E"/>
    <w:rsid w:val="00C2058A"/>
    <w:rsid w:val="00C21FD4"/>
    <w:rsid w:val="00C24DFA"/>
    <w:rsid w:val="00C25BFD"/>
    <w:rsid w:val="00C34BE5"/>
    <w:rsid w:val="00C359FE"/>
    <w:rsid w:val="00C36CC1"/>
    <w:rsid w:val="00C40D55"/>
    <w:rsid w:val="00C42C73"/>
    <w:rsid w:val="00C53867"/>
    <w:rsid w:val="00C60EF8"/>
    <w:rsid w:val="00C616A0"/>
    <w:rsid w:val="00C64A7A"/>
    <w:rsid w:val="00C72D07"/>
    <w:rsid w:val="00C72D0B"/>
    <w:rsid w:val="00C74B50"/>
    <w:rsid w:val="00C75B8C"/>
    <w:rsid w:val="00C80A20"/>
    <w:rsid w:val="00C80B3B"/>
    <w:rsid w:val="00C86846"/>
    <w:rsid w:val="00C86B98"/>
    <w:rsid w:val="00C91720"/>
    <w:rsid w:val="00C92180"/>
    <w:rsid w:val="00C93746"/>
    <w:rsid w:val="00C94C11"/>
    <w:rsid w:val="00C9653F"/>
    <w:rsid w:val="00CA4024"/>
    <w:rsid w:val="00CB2519"/>
    <w:rsid w:val="00CB5661"/>
    <w:rsid w:val="00CB7748"/>
    <w:rsid w:val="00CC0269"/>
    <w:rsid w:val="00CC50ED"/>
    <w:rsid w:val="00CC5F1B"/>
    <w:rsid w:val="00CD0435"/>
    <w:rsid w:val="00CD0EC1"/>
    <w:rsid w:val="00CD2A2E"/>
    <w:rsid w:val="00CF2828"/>
    <w:rsid w:val="00CF64E9"/>
    <w:rsid w:val="00D003C9"/>
    <w:rsid w:val="00D031EE"/>
    <w:rsid w:val="00D0439A"/>
    <w:rsid w:val="00D04BD2"/>
    <w:rsid w:val="00D105A6"/>
    <w:rsid w:val="00D10F41"/>
    <w:rsid w:val="00D130C3"/>
    <w:rsid w:val="00D13756"/>
    <w:rsid w:val="00D2219E"/>
    <w:rsid w:val="00D250E1"/>
    <w:rsid w:val="00D25CB5"/>
    <w:rsid w:val="00D2602A"/>
    <w:rsid w:val="00D26360"/>
    <w:rsid w:val="00D35B8C"/>
    <w:rsid w:val="00D37374"/>
    <w:rsid w:val="00D44C97"/>
    <w:rsid w:val="00D51FEB"/>
    <w:rsid w:val="00D5313E"/>
    <w:rsid w:val="00D53E13"/>
    <w:rsid w:val="00D604AF"/>
    <w:rsid w:val="00D65EED"/>
    <w:rsid w:val="00D67D6E"/>
    <w:rsid w:val="00D705BA"/>
    <w:rsid w:val="00DB18D1"/>
    <w:rsid w:val="00DB1BDE"/>
    <w:rsid w:val="00DB39DD"/>
    <w:rsid w:val="00DB7623"/>
    <w:rsid w:val="00DC03B6"/>
    <w:rsid w:val="00DC439B"/>
    <w:rsid w:val="00DC7D02"/>
    <w:rsid w:val="00DD0683"/>
    <w:rsid w:val="00DD1B08"/>
    <w:rsid w:val="00DD60F6"/>
    <w:rsid w:val="00DD795C"/>
    <w:rsid w:val="00DD7F59"/>
    <w:rsid w:val="00DE71D9"/>
    <w:rsid w:val="00DE7ECD"/>
    <w:rsid w:val="00DF098A"/>
    <w:rsid w:val="00DF137E"/>
    <w:rsid w:val="00DF1E37"/>
    <w:rsid w:val="00E00475"/>
    <w:rsid w:val="00E03142"/>
    <w:rsid w:val="00E05390"/>
    <w:rsid w:val="00E117FC"/>
    <w:rsid w:val="00E1352F"/>
    <w:rsid w:val="00E24F7D"/>
    <w:rsid w:val="00E259E4"/>
    <w:rsid w:val="00E259FB"/>
    <w:rsid w:val="00E26802"/>
    <w:rsid w:val="00E32C70"/>
    <w:rsid w:val="00E32D9C"/>
    <w:rsid w:val="00E364BE"/>
    <w:rsid w:val="00E4403C"/>
    <w:rsid w:val="00E46F2C"/>
    <w:rsid w:val="00E51B34"/>
    <w:rsid w:val="00E52368"/>
    <w:rsid w:val="00E570EE"/>
    <w:rsid w:val="00E575B6"/>
    <w:rsid w:val="00E63566"/>
    <w:rsid w:val="00E65FA5"/>
    <w:rsid w:val="00E71CC5"/>
    <w:rsid w:val="00E72F74"/>
    <w:rsid w:val="00E732C2"/>
    <w:rsid w:val="00E777E3"/>
    <w:rsid w:val="00E8672B"/>
    <w:rsid w:val="00E94866"/>
    <w:rsid w:val="00E96863"/>
    <w:rsid w:val="00EA3159"/>
    <w:rsid w:val="00EA362C"/>
    <w:rsid w:val="00EA399A"/>
    <w:rsid w:val="00EB0CD7"/>
    <w:rsid w:val="00EB3082"/>
    <w:rsid w:val="00EB3F70"/>
    <w:rsid w:val="00EB5626"/>
    <w:rsid w:val="00EC0B3C"/>
    <w:rsid w:val="00EC374E"/>
    <w:rsid w:val="00ED1B9C"/>
    <w:rsid w:val="00ED3F55"/>
    <w:rsid w:val="00ED43C8"/>
    <w:rsid w:val="00ED7196"/>
    <w:rsid w:val="00ED7247"/>
    <w:rsid w:val="00EE3776"/>
    <w:rsid w:val="00EE5D2A"/>
    <w:rsid w:val="00EE5E26"/>
    <w:rsid w:val="00F10C9E"/>
    <w:rsid w:val="00F13BBD"/>
    <w:rsid w:val="00F1534B"/>
    <w:rsid w:val="00F15BB7"/>
    <w:rsid w:val="00F168BD"/>
    <w:rsid w:val="00F25C89"/>
    <w:rsid w:val="00F35AC7"/>
    <w:rsid w:val="00F370E2"/>
    <w:rsid w:val="00F37E88"/>
    <w:rsid w:val="00F40E3B"/>
    <w:rsid w:val="00F537A7"/>
    <w:rsid w:val="00F538D6"/>
    <w:rsid w:val="00F55363"/>
    <w:rsid w:val="00F571CE"/>
    <w:rsid w:val="00F61926"/>
    <w:rsid w:val="00F630B9"/>
    <w:rsid w:val="00F65822"/>
    <w:rsid w:val="00F65B55"/>
    <w:rsid w:val="00F66E75"/>
    <w:rsid w:val="00F715CA"/>
    <w:rsid w:val="00F750E8"/>
    <w:rsid w:val="00F765BC"/>
    <w:rsid w:val="00F85D0F"/>
    <w:rsid w:val="00F8614F"/>
    <w:rsid w:val="00F921AE"/>
    <w:rsid w:val="00F926B5"/>
    <w:rsid w:val="00F94493"/>
    <w:rsid w:val="00F96A79"/>
    <w:rsid w:val="00FA2B44"/>
    <w:rsid w:val="00FA6CB4"/>
    <w:rsid w:val="00FB00F9"/>
    <w:rsid w:val="00FB114E"/>
    <w:rsid w:val="00FC27DA"/>
    <w:rsid w:val="00FC2AAB"/>
    <w:rsid w:val="00FC3CBB"/>
    <w:rsid w:val="00FC6AD7"/>
    <w:rsid w:val="00FD2041"/>
    <w:rsid w:val="00FD4282"/>
    <w:rsid w:val="00FD54CB"/>
    <w:rsid w:val="00FE288C"/>
    <w:rsid w:val="00FE436B"/>
    <w:rsid w:val="00FE4519"/>
    <w:rsid w:val="00FF1D5D"/>
    <w:rsid w:val="00FF2EA6"/>
    <w:rsid w:val="00FF4A7B"/>
    <w:rsid w:val="00FF5A2E"/>
    <w:rsid w:val="0A7C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numPr>
        <w:ilvl w:val="0"/>
        <w:numId w:val="1"/>
      </w:numPr>
      <w:spacing w:before="340" w:after="330" w:line="578" w:lineRule="auto"/>
      <w:jc w:val="center"/>
      <w:outlineLvl w:val="0"/>
    </w:pPr>
    <w:rPr>
      <w:b/>
      <w:bCs/>
      <w:kern w:val="44"/>
      <w:sz w:val="32"/>
      <w:szCs w:val="32"/>
    </w:rPr>
  </w:style>
  <w:style w:type="paragraph" w:styleId="3">
    <w:name w:val="heading 2"/>
    <w:basedOn w:val="1"/>
    <w:next w:val="1"/>
    <w:link w:val="32"/>
    <w:qFormat/>
    <w:uiPriority w:val="0"/>
    <w:pPr>
      <w:keepNext/>
      <w:keepLines/>
      <w:spacing w:before="260" w:after="260" w:line="415" w:lineRule="auto"/>
      <w:jc w:val="center"/>
      <w:outlineLvl w:val="1"/>
    </w:pPr>
    <w:rPr>
      <w:rFonts w:ascii="Arial" w:hAnsi="Arial" w:eastAsiaTheme="majorEastAsia"/>
      <w:b/>
      <w:bCs/>
      <w:sz w:val="28"/>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link w:val="40"/>
    <w:semiHidden/>
    <w:unhideWhenUsed/>
    <w:qFormat/>
    <w:uiPriority w:val="99"/>
    <w:pPr>
      <w:jc w:val="left"/>
    </w:pPr>
  </w:style>
  <w:style w:type="paragraph" w:styleId="6">
    <w:name w:val="Body Text"/>
    <w:basedOn w:val="1"/>
    <w:link w:val="31"/>
    <w:semiHidden/>
    <w:unhideWhenUsed/>
    <w:qFormat/>
    <w:uiPriority w:val="99"/>
    <w:pPr>
      <w:spacing w:after="120"/>
    </w:pPr>
  </w:style>
  <w:style w:type="paragraph" w:styleId="7">
    <w:name w:val="Body Text Indent"/>
    <w:basedOn w:val="1"/>
    <w:link w:val="25"/>
    <w:semiHidden/>
    <w:unhideWhenUsed/>
    <w:qFormat/>
    <w:uiPriority w:val="99"/>
    <w:pPr>
      <w:spacing w:after="120"/>
      <w:ind w:left="420" w:leftChars="200"/>
    </w:pPr>
    <w:rPr>
      <w:kern w:val="0"/>
      <w:sz w:val="20"/>
    </w:rPr>
  </w:style>
  <w:style w:type="paragraph" w:styleId="8">
    <w:name w:val="Balloon Text"/>
    <w:basedOn w:val="1"/>
    <w:link w:val="34"/>
    <w:semiHidden/>
    <w:unhideWhenUsed/>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900"/>
        <w:tab w:val="right" w:leader="dot" w:pos="8956"/>
      </w:tabs>
      <w:spacing w:line="360" w:lineRule="auto"/>
    </w:pPr>
    <w:rPr>
      <w:rFonts w:ascii="仿宋_GB2312" w:hAnsi="仿宋_GB2312" w:eastAsia="仿宋_GB2312"/>
      <w:sz w:val="28"/>
      <w:szCs w:val="28"/>
    </w:rPr>
  </w:style>
  <w:style w:type="paragraph" w:styleId="12">
    <w:name w:val="Subtitle"/>
    <w:basedOn w:val="1"/>
    <w:next w:val="1"/>
    <w:link w:val="30"/>
    <w:qFormat/>
    <w:uiPriority w:val="11"/>
    <w:pPr>
      <w:spacing w:before="240" w:after="60" w:line="312" w:lineRule="auto"/>
      <w:jc w:val="center"/>
      <w:outlineLvl w:val="1"/>
    </w:pPr>
    <w:rPr>
      <w:rFonts w:ascii="Cambria" w:hAnsi="Cambria"/>
      <w:b/>
      <w:bCs/>
      <w:kern w:val="28"/>
      <w:sz w:val="32"/>
      <w:szCs w:val="32"/>
    </w:rPr>
  </w:style>
  <w:style w:type="paragraph" w:styleId="13">
    <w:name w:val="toc 2"/>
    <w:basedOn w:val="1"/>
    <w:next w:val="1"/>
    <w:autoRedefine/>
    <w:qFormat/>
    <w:uiPriority w:val="39"/>
    <w:pPr>
      <w:tabs>
        <w:tab w:val="right" w:leader="dot" w:pos="8931"/>
      </w:tabs>
      <w:spacing w:line="360" w:lineRule="auto"/>
      <w:ind w:left="420" w:leftChars="200"/>
    </w:pPr>
    <w:rPr>
      <w:rFonts w:ascii="仿宋_GB2312" w:eastAsia="仿宋_GB2312"/>
      <w:szCs w:val="21"/>
    </w:rPr>
  </w:style>
  <w:style w:type="paragraph" w:styleId="14">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5">
    <w:name w:val="Title"/>
    <w:basedOn w:val="1"/>
    <w:next w:val="1"/>
    <w:link w:val="29"/>
    <w:qFormat/>
    <w:uiPriority w:val="10"/>
    <w:pPr>
      <w:spacing w:before="240" w:after="60"/>
      <w:jc w:val="center"/>
      <w:outlineLvl w:val="0"/>
    </w:pPr>
    <w:rPr>
      <w:rFonts w:ascii="Cambria" w:hAnsi="Cambria"/>
      <w:b/>
      <w:bCs/>
      <w:sz w:val="32"/>
      <w:szCs w:val="32"/>
    </w:rPr>
  </w:style>
  <w:style w:type="paragraph" w:styleId="16">
    <w:name w:val="annotation subject"/>
    <w:basedOn w:val="5"/>
    <w:next w:val="5"/>
    <w:link w:val="41"/>
    <w:semiHidden/>
    <w:unhideWhenUsed/>
    <w:qFormat/>
    <w:uiPriority w:val="99"/>
    <w:rPr>
      <w:b/>
      <w:bCs/>
    </w:rPr>
  </w:style>
  <w:style w:type="paragraph" w:styleId="17">
    <w:name w:val="Body Text First Indent 2"/>
    <w:basedOn w:val="7"/>
    <w:link w:val="26"/>
    <w:semiHidden/>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qFormat/>
    <w:uiPriority w:val="99"/>
    <w:rPr>
      <w:rFonts w:ascii="Tahoma" w:hAnsi="Tahoma" w:eastAsia="宋体"/>
      <w:b/>
      <w:color w:val="0000FF"/>
      <w:kern w:val="2"/>
      <w:sz w:val="24"/>
      <w:szCs w:val="24"/>
      <w:u w:val="single"/>
      <w:lang w:val="en-US" w:eastAsia="zh-CN" w:bidi="ar-SA"/>
    </w:rPr>
  </w:style>
  <w:style w:type="character" w:styleId="22">
    <w:name w:val="annotation reference"/>
    <w:semiHidden/>
    <w:unhideWhenUsed/>
    <w:qFormat/>
    <w:uiPriority w:val="99"/>
    <w:rPr>
      <w:sz w:val="21"/>
      <w:szCs w:val="21"/>
    </w:rPr>
  </w:style>
  <w:style w:type="character" w:customStyle="1" w:styleId="23">
    <w:name w:val="标题 1 Char"/>
    <w:link w:val="2"/>
    <w:uiPriority w:val="0"/>
    <w:rPr>
      <w:rFonts w:ascii="Times New Roman" w:hAnsi="Times New Roman"/>
      <w:b/>
      <w:bCs/>
      <w:kern w:val="44"/>
      <w:sz w:val="32"/>
      <w:szCs w:val="32"/>
    </w:rPr>
  </w:style>
  <w:style w:type="paragraph" w:customStyle="1" w:styleId="24">
    <w:name w:val="样式 样式 样式3 + 四号 + 段前: 0 磅 段后: 0 磅 行距: 1.5 倍行距"/>
    <w:basedOn w:val="1"/>
    <w:uiPriority w:val="0"/>
    <w:pPr>
      <w:numPr>
        <w:ilvl w:val="0"/>
        <w:numId w:val="2"/>
      </w:numPr>
      <w:spacing w:line="360" w:lineRule="auto"/>
      <w:jc w:val="left"/>
      <w:outlineLvl w:val="0"/>
    </w:pPr>
    <w:rPr>
      <w:kern w:val="44"/>
      <w:sz w:val="28"/>
      <w:szCs w:val="20"/>
    </w:rPr>
  </w:style>
  <w:style w:type="character" w:customStyle="1" w:styleId="25">
    <w:name w:val="正文文本缩进 Char"/>
    <w:link w:val="7"/>
    <w:semiHidden/>
    <w:qFormat/>
    <w:uiPriority w:val="99"/>
    <w:rPr>
      <w:rFonts w:ascii="Times New Roman" w:hAnsi="Times New Roman" w:eastAsia="宋体" w:cs="Times New Roman"/>
      <w:szCs w:val="24"/>
    </w:rPr>
  </w:style>
  <w:style w:type="character" w:customStyle="1" w:styleId="26">
    <w:name w:val="正文首行缩进 2 Char"/>
    <w:basedOn w:val="25"/>
    <w:link w:val="17"/>
    <w:semiHidden/>
    <w:qFormat/>
    <w:uiPriority w:val="99"/>
  </w:style>
  <w:style w:type="character" w:customStyle="1" w:styleId="27">
    <w:name w:val="页眉 Char"/>
    <w:link w:val="10"/>
    <w:qFormat/>
    <w:uiPriority w:val="99"/>
    <w:rPr>
      <w:rFonts w:ascii="Times New Roman" w:hAnsi="Times New Roman"/>
      <w:kern w:val="2"/>
      <w:sz w:val="18"/>
      <w:szCs w:val="18"/>
    </w:rPr>
  </w:style>
  <w:style w:type="character" w:customStyle="1" w:styleId="28">
    <w:name w:val="页脚 Char"/>
    <w:link w:val="9"/>
    <w:qFormat/>
    <w:uiPriority w:val="99"/>
    <w:rPr>
      <w:rFonts w:ascii="Times New Roman" w:hAnsi="Times New Roman"/>
      <w:kern w:val="2"/>
      <w:sz w:val="18"/>
      <w:szCs w:val="18"/>
    </w:rPr>
  </w:style>
  <w:style w:type="character" w:customStyle="1" w:styleId="29">
    <w:name w:val="标题 Char"/>
    <w:link w:val="15"/>
    <w:qFormat/>
    <w:uiPriority w:val="10"/>
    <w:rPr>
      <w:rFonts w:ascii="Cambria" w:hAnsi="Cambria" w:cs="Times New Roman"/>
      <w:b/>
      <w:bCs/>
      <w:kern w:val="2"/>
      <w:sz w:val="32"/>
      <w:szCs w:val="32"/>
    </w:rPr>
  </w:style>
  <w:style w:type="character" w:customStyle="1" w:styleId="30">
    <w:name w:val="副标题 Char"/>
    <w:link w:val="12"/>
    <w:qFormat/>
    <w:uiPriority w:val="11"/>
    <w:rPr>
      <w:rFonts w:ascii="Cambria" w:hAnsi="Cambria" w:cs="Times New Roman"/>
      <w:b/>
      <w:bCs/>
      <w:kern w:val="28"/>
      <w:sz w:val="32"/>
      <w:szCs w:val="32"/>
    </w:rPr>
  </w:style>
  <w:style w:type="character" w:customStyle="1" w:styleId="31">
    <w:name w:val="正文文本 Char"/>
    <w:link w:val="6"/>
    <w:semiHidden/>
    <w:qFormat/>
    <w:uiPriority w:val="99"/>
    <w:rPr>
      <w:rFonts w:ascii="Times New Roman" w:hAnsi="Times New Roman"/>
      <w:kern w:val="2"/>
      <w:sz w:val="21"/>
      <w:szCs w:val="24"/>
    </w:rPr>
  </w:style>
  <w:style w:type="character" w:customStyle="1" w:styleId="32">
    <w:name w:val="标题 2 Char"/>
    <w:link w:val="3"/>
    <w:qFormat/>
    <w:uiPriority w:val="0"/>
    <w:rPr>
      <w:rFonts w:ascii="Arial" w:hAnsi="Arial" w:eastAsiaTheme="majorEastAsia"/>
      <w:b/>
      <w:bCs/>
      <w:kern w:val="2"/>
      <w:sz w:val="28"/>
      <w:szCs w:val="32"/>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批注框文本 Char"/>
    <w:link w:val="8"/>
    <w:semiHidden/>
    <w:qFormat/>
    <w:uiPriority w:val="99"/>
    <w:rPr>
      <w:rFonts w:ascii="Times New Roman" w:hAnsi="Times New Roman"/>
      <w:kern w:val="2"/>
      <w:sz w:val="18"/>
      <w:szCs w:val="18"/>
    </w:rPr>
  </w:style>
  <w:style w:type="paragraph" w:customStyle="1" w:styleId="35">
    <w:name w:val="TOC Heading"/>
    <w:basedOn w:val="2"/>
    <w:next w:val="1"/>
    <w:semiHidden/>
    <w:unhideWhenUsed/>
    <w:qFormat/>
    <w:uiPriority w:val="39"/>
    <w:pPr>
      <w:keepNext/>
      <w:keepLines/>
      <w:widowControl/>
      <w:numPr>
        <w:numId w:val="0"/>
      </w:numPr>
      <w:spacing w:before="480" w:after="0" w:line="276" w:lineRule="auto"/>
      <w:jc w:val="left"/>
      <w:outlineLvl w:val="9"/>
    </w:pPr>
    <w:rPr>
      <w:rFonts w:ascii="Cambria" w:hAnsi="Cambria"/>
      <w:color w:val="365F91"/>
      <w:kern w:val="0"/>
      <w:sz w:val="28"/>
      <w:szCs w:val="28"/>
    </w:rPr>
  </w:style>
  <w:style w:type="paragraph" w:styleId="36">
    <w:name w:val="No Spacing"/>
    <w:link w:val="37"/>
    <w:qFormat/>
    <w:uiPriority w:val="1"/>
    <w:rPr>
      <w:rFonts w:ascii="Calibri" w:hAnsi="Calibri" w:eastAsia="宋体" w:cs="Times New Roman"/>
      <w:sz w:val="22"/>
      <w:szCs w:val="22"/>
      <w:lang w:val="en-US" w:eastAsia="zh-CN" w:bidi="ar-SA"/>
    </w:rPr>
  </w:style>
  <w:style w:type="character" w:customStyle="1" w:styleId="37">
    <w:name w:val="无间隔 Char"/>
    <w:link w:val="36"/>
    <w:qFormat/>
    <w:uiPriority w:val="1"/>
    <w:rPr>
      <w:sz w:val="22"/>
      <w:szCs w:val="22"/>
      <w:lang w:val="en-US" w:eastAsia="zh-CN" w:bidi="ar-SA"/>
    </w:rPr>
  </w:style>
  <w:style w:type="paragraph" w:customStyle="1" w:styleId="38">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paragraph" w:styleId="39">
    <w:name w:val="List Paragraph"/>
    <w:basedOn w:val="1"/>
    <w:qFormat/>
    <w:uiPriority w:val="34"/>
    <w:pPr>
      <w:ind w:firstLine="420" w:firstLineChars="200"/>
    </w:pPr>
  </w:style>
  <w:style w:type="character" w:customStyle="1" w:styleId="40">
    <w:name w:val="批注文字 Char"/>
    <w:link w:val="5"/>
    <w:semiHidden/>
    <w:qFormat/>
    <w:uiPriority w:val="99"/>
    <w:rPr>
      <w:rFonts w:ascii="Times New Roman" w:hAnsi="Times New Roman"/>
      <w:kern w:val="2"/>
      <w:sz w:val="21"/>
      <w:szCs w:val="24"/>
    </w:rPr>
  </w:style>
  <w:style w:type="character" w:customStyle="1" w:styleId="41">
    <w:name w:val="批注主题 Char"/>
    <w:link w:val="16"/>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D9CDA-F4BB-46F6-B152-6F9877368A25}">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20</Pages>
  <Words>5220</Words>
  <Characters>5638</Characters>
  <Lines>216</Lines>
  <Paragraphs>159</Paragraphs>
  <TotalTime>151</TotalTime>
  <ScaleCrop>false</ScaleCrop>
  <LinksUpToDate>false</LinksUpToDate>
  <CharactersWithSpaces>10699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2017-12-14T02:28:00Z</dcterms:created>
  <dc:creator>X240</dc:creator>
  <cp:lastModifiedBy>小孙策反了</cp:lastModifiedBy>
  <cp:lastPrinted>2013-04-11T01:29:00Z</cp:lastPrinted>
  <dcterms:modified xsi:type="dcterms:W3CDTF">2024-11-19T11:38:20Z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C7ADCA8371CD4C4EBA4B9CF70CD7B179_13</vt:lpwstr>
  </property>
</Properties>
</file>